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4bis                             </w:t>
      </w:r>
      <w:r>
        <w:rPr>
          <w:rFonts w:ascii="Arial" w:hAnsi="Arial" w:eastAsia="宋体" w:cs="Arial"/>
          <w:b/>
          <w:sz w:val="24"/>
          <w:szCs w:val="24"/>
          <w:lang w:eastAsia="zh-CN"/>
        </w:rPr>
        <w:t>R4-2</w:t>
      </w:r>
      <w:r>
        <w:rPr>
          <w:rFonts w:hint="eastAsia" w:eastAsia="宋体" w:cs="Arial"/>
          <w:b/>
          <w:sz w:val="24"/>
          <w:szCs w:val="24"/>
          <w:lang w:val="en-US" w:eastAsia="zh-CN"/>
        </w:rPr>
        <w:t>503789</w:t>
      </w:r>
      <w:bookmarkStart w:id="6" w:name="_GoBack"/>
      <w:bookmarkEnd w:id="6"/>
      <w:r>
        <w:rPr>
          <w:rFonts w:hint="eastAsia" w:eastAsia="宋体" w:cs="Arial"/>
          <w:b/>
          <w:sz w:val="24"/>
          <w:szCs w:val="24"/>
          <w:lang w:val="en-US" w:eastAsia="zh-CN"/>
        </w:rPr>
        <w:t xml:space="preserve">                              </w:t>
      </w:r>
    </w:p>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Wuhan</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7.19.3</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RSRP Accuracy (option 1)</w:t>
      </w:r>
    </w:p>
    <w:p>
      <w:pPr>
        <w:rPr>
          <w:rFonts w:hint="eastAsia"/>
          <w:lang w:val="en-US" w:eastAsia="zh-CN"/>
        </w:rPr>
      </w:pPr>
      <w:r>
        <w:rPr>
          <w:rFonts w:hint="eastAsia"/>
          <w:lang w:val="en-US" w:eastAsia="zh-CN"/>
        </w:rPr>
        <w:t>RAN4 has discussed several meetings on how to define the RSRP accuracy, including the absolute RSRP accuracy and the relative RSRP accuracy. In RAN4 #112bis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2"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However, the relative RSRP accuracy has not be defined during several meetings. First of all, we shall clarify the necessity of using relative RSRP accura</w:t>
      </w:r>
      <w:r>
        <w:rPr>
          <w:rFonts w:hint="eastAsia"/>
          <w:highlight w:val="none"/>
          <w:lang w:val="en-US" w:eastAsia="zh-CN"/>
        </w:rPr>
        <w:t>cy to determining the optimal reported beams.</w:t>
      </w:r>
      <w:r>
        <w:rPr>
          <w:rFonts w:hint="eastAsia"/>
          <w:lang w:val="en-US" w:eastAsia="zh-CN"/>
        </w:rPr>
        <w:t xml:space="preserve"> Secondly, the formula of relative RSRP accuracy shall be defined.</w:t>
      </w:r>
    </w:p>
    <w:p>
      <w:pPr>
        <w:spacing w:before="161" w:beforeLines="50" w:after="161" w:afterLines="50"/>
        <w:jc w:val="both"/>
        <w:rPr>
          <w:rFonts w:hint="eastAsia"/>
          <w:lang w:val="en-US" w:eastAsia="zh-CN"/>
        </w:rPr>
      </w:pPr>
      <w:r>
        <w:rPr>
          <w:rFonts w:hint="eastAsia"/>
          <w:lang w:val="en-US" w:eastAsia="zh-CN"/>
        </w:rPr>
        <w:t>Before the above analysis, we shall specify what is the relative RSRP accuracy. The legacy description can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3"/>
          </w:p>
        </w:tc>
      </w:tr>
    </w:tbl>
    <w:p>
      <w:pPr>
        <w:spacing w:before="161" w:beforeLines="50" w:after="161" w:afterLines="50"/>
        <w:jc w:val="both"/>
        <w:rPr>
          <w:rFonts w:hint="default"/>
          <w:b w:val="0"/>
          <w:bCs w:val="0"/>
          <w:i w:val="0"/>
          <w:iCs w:val="0"/>
          <w:lang w:val="en-US" w:eastAsia="zh-CN"/>
        </w:rPr>
      </w:pPr>
      <w:r>
        <w:rPr>
          <w:rFonts w:hint="eastAsia"/>
          <w:b w:val="0"/>
          <w:bCs w:val="0"/>
          <w:i w:val="0"/>
          <w:iCs w:val="0"/>
          <w:lang w:val="en-US" w:eastAsia="zh-CN"/>
        </w:rPr>
        <w:t xml:space="preserve">We know that the benchmark is the measured largest value of L1-RSRP among all SSBs of the serving cell or one neighbour cell in legacy. However, the LTM related relative RSRP has no benchmark, only two different beams do the comparison but in two different cells. We deem that these two kinds of definition could be considered when we discuss the formulation of the relative RSRP accuracy. </w:t>
      </w:r>
    </w:p>
    <w:p>
      <w:pPr>
        <w:spacing w:before="161" w:beforeLines="50" w:after="161" w:afterLines="50"/>
        <w:jc w:val="both"/>
        <w:rPr>
          <w:rFonts w:hint="eastAsia"/>
          <w:b/>
          <w:bCs/>
          <w:i/>
          <w:iCs/>
          <w:lang w:val="en-US" w:eastAsia="zh-CN"/>
        </w:rPr>
      </w:pPr>
      <w:r>
        <w:rPr>
          <w:rFonts w:hint="eastAsia"/>
          <w:b/>
          <w:bCs/>
          <w:i/>
          <w:iCs/>
          <w:highlight w:val="none"/>
          <w:lang w:val="en-US" w:eastAsia="zh-CN"/>
        </w:rPr>
        <w:t>Necessity o</w:t>
      </w:r>
      <w:r>
        <w:rPr>
          <w:rFonts w:hint="eastAsia"/>
          <w:b/>
          <w:bCs/>
          <w:i/>
          <w:iCs/>
          <w:lang w:val="en-US" w:eastAsia="zh-CN"/>
        </w:rPr>
        <w:t>f using relative RSRP accuracy</w:t>
      </w:r>
    </w:p>
    <w:p>
      <w:pPr>
        <w:numPr>
          <w:ilvl w:val="0"/>
          <w:numId w:val="10"/>
        </w:numPr>
        <w:jc w:val="both"/>
        <w:rPr>
          <w:rFonts w:hint="default"/>
          <w:lang w:val="en-US" w:eastAsia="zh-CN"/>
        </w:rPr>
      </w:pPr>
      <w:r>
        <w:rPr>
          <w:rFonts w:hint="eastAsia"/>
          <w:lang w:val="en-US" w:eastAsia="zh-CN"/>
        </w:rPr>
        <w:t>Remove the bias. RSRP measurement may be impacted by path loss, multi-path effect and LOS/NLOS etc., which the RSRP measurement results will contain the random bias. The relative RSRP accuracy refers to difference between two different SSBs (including the largest value), that is, the relative RSRP accuracy gives the differential results and the bias between different beams could be cancel out since the different beams may have the similar bias impact unlike the absolute RSRP accuracy.</w:t>
      </w:r>
    </w:p>
    <w:p>
      <w:pPr>
        <w:numPr>
          <w:ilvl w:val="0"/>
          <w:numId w:val="10"/>
        </w:numPr>
        <w:jc w:val="both"/>
        <w:rPr>
          <w:rFonts w:hint="default"/>
          <w:lang w:val="en-US" w:eastAsia="zh-CN"/>
        </w:rPr>
      </w:pPr>
      <w:r>
        <w:rPr>
          <w:rFonts w:hint="eastAsia"/>
          <w:lang w:val="en-US" w:eastAsia="zh-CN"/>
        </w:rPr>
        <w:t>Choose the optimal reported beam. The relative RSRP accuracy allows the network to compare the received signal power from different beams more accurately by comparing the relative differences among them. It aids the UE and the network in determining the optimal reported beam.</w:t>
      </w:r>
    </w:p>
    <w:p>
      <w:pPr>
        <w:numPr>
          <w:ilvl w:val="-1"/>
          <w:numId w:val="0"/>
        </w:numPr>
        <w:jc w:val="both"/>
        <w:rPr>
          <w:rFonts w:hint="eastAsia"/>
          <w:lang w:val="en-US" w:eastAsia="zh-CN"/>
        </w:rPr>
      </w:pPr>
      <w:r>
        <w:rPr>
          <w:rFonts w:hint="eastAsia"/>
          <w:lang w:val="en-US" w:eastAsia="zh-CN"/>
        </w:rPr>
        <w:t>Based on the above, we think the relative RSRP accuracy shall be considered.</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5: The relative RSRP accuracy could remove the bias and choose the optimal reported beam.</w:t>
      </w:r>
    </w:p>
    <w:p>
      <w:pPr>
        <w:numPr>
          <w:ilvl w:val="-1"/>
          <w:numId w:val="0"/>
        </w:numPr>
        <w:spacing w:before="161" w:beforeLines="50" w:after="161" w:afterLines="50"/>
        <w:jc w:val="both"/>
        <w:rPr>
          <w:rFonts w:hint="eastAsia"/>
          <w:lang w:val="en-US" w:eastAsia="zh-CN"/>
        </w:rPr>
      </w:pPr>
      <w:r>
        <w:rPr>
          <w:rFonts w:hint="eastAsia"/>
          <w:b/>
          <w:bCs/>
          <w:lang w:val="en-US" w:eastAsia="zh-CN"/>
        </w:rPr>
        <w:t>Proposal 3: The relative RSRP accuracy shall be considered for RSRP accuracy</w:t>
      </w:r>
      <w:r>
        <w:rPr>
          <w:rFonts w:hint="eastAsia"/>
          <w:lang w:val="en-US" w:eastAsia="zh-CN"/>
        </w:rPr>
        <w:t>.</w:t>
      </w:r>
    </w:p>
    <w:p>
      <w:pPr>
        <w:spacing w:before="161" w:beforeLines="50" w:after="161" w:afterLines="50"/>
        <w:jc w:val="both"/>
        <w:rPr>
          <w:rFonts w:hint="default"/>
          <w:b/>
          <w:bCs/>
          <w:i/>
          <w:iCs/>
          <w:lang w:val="en-US" w:eastAsia="zh-CN"/>
        </w:rPr>
      </w:pPr>
      <w:r>
        <w:rPr>
          <w:rFonts w:hint="eastAsia"/>
          <w:b/>
          <w:bCs/>
          <w:i/>
          <w:iCs/>
          <w:lang w:val="en-US" w:eastAsia="zh-CN"/>
        </w:rPr>
        <w:t>Formula of th</w:t>
      </w:r>
      <w:r>
        <w:rPr>
          <w:rFonts w:hint="eastAsia"/>
          <w:b/>
          <w:bCs/>
          <w:i/>
          <w:iCs/>
          <w:highlight w:val="none"/>
          <w:lang w:val="en-US" w:eastAsia="zh-CN"/>
        </w:rPr>
        <w:t>e relative RSRP accuracy</w:t>
      </w:r>
    </w:p>
    <w:p>
      <w:pPr>
        <w:numPr>
          <w:ilvl w:val="-1"/>
          <w:numId w:val="0"/>
        </w:numPr>
        <w:jc w:val="both"/>
        <w:rPr>
          <w:rFonts w:hint="eastAsia"/>
          <w:lang w:val="en-US" w:eastAsia="zh-CN"/>
        </w:rPr>
      </w:pPr>
      <w:r>
        <w:rPr>
          <w:rFonts w:hint="eastAsia"/>
          <w:lang w:val="en-US" w:eastAsia="zh-CN"/>
        </w:rPr>
        <w:t xml:space="preserve">From my perspective, there is no neighbour cell impact for AI beam management, only serving cell downlink Tx beam prediction is in the scope. Thus, the LTM and ICBM related relative RSRP accuracy shall be precluded and only legacy definition of relative RSRP accuracy with serving cell shall be baseline. </w:t>
      </w:r>
    </w:p>
    <w:p>
      <w:pPr>
        <w:numPr>
          <w:ilvl w:val="-1"/>
          <w:numId w:val="0"/>
        </w:numPr>
        <w:jc w:val="both"/>
        <w:rPr>
          <w:rFonts w:hint="eastAsia"/>
          <w:lang w:val="en-US" w:eastAsia="zh-CN"/>
        </w:rPr>
      </w:pPr>
      <w:r>
        <w:rPr>
          <w:rFonts w:hint="eastAsia"/>
          <w:i w:val="0"/>
          <w:iCs w:val="0"/>
          <w:lang w:val="en-US" w:eastAsia="zh-CN"/>
        </w:rPr>
        <w:t xml:space="preserve">Some companies deem that the relative RSRP accuracy shall between the best predicted beam and one of the rest of predicted beams. To my understanding, the extreme case is that L1-RSRP of the best predicted beam (benchmark) is not good enough, that is, the performance of AI system has already been degraded. Thus, the predicted beam could not be the benchmark. On the contrary, the groundtruth beams are based on the UE measurement which is more reliable than predicted beams in the initial prediction stage. Thus, the best groundtruth beams shall be the benchmark. </w:t>
      </w:r>
      <w:r>
        <w:rPr>
          <w:rFonts w:hint="eastAsia"/>
          <w:lang w:val="en-US" w:eastAsia="zh-CN"/>
        </w:rPr>
        <w:t>The formula of the relative RSRP accuracy could be :</w:t>
      </w:r>
    </w:p>
    <w:p>
      <w:pPr>
        <w:numPr>
          <w:ilvl w:val="-1"/>
          <w:numId w:val="0"/>
        </w:numPr>
        <w:jc w:val="center"/>
        <w:rPr>
          <w:rFonts w:hint="eastAsia"/>
          <w:i/>
          <w:iCs/>
          <w:lang w:val="en-US" w:eastAsia="zh-CN"/>
        </w:rPr>
      </w:pPr>
      <w:r>
        <w:rPr>
          <w:rFonts w:hint="eastAsia"/>
          <w:i/>
          <w:iCs/>
          <w:lang w:val="en-US" w:eastAsia="zh-CN"/>
        </w:rPr>
        <w:t>Relative RSRP accuracy=predicted L1-RSRP of beam index i - ground truth of the beam index n ,</w:t>
      </w:r>
    </w:p>
    <w:p>
      <w:pPr>
        <w:numPr>
          <w:ilvl w:val="-1"/>
          <w:numId w:val="0"/>
        </w:numPr>
        <w:jc w:val="center"/>
        <w:rPr>
          <w:rFonts w:hint="eastAsia"/>
          <w:i/>
          <w:iCs/>
          <w:lang w:val="en-US" w:eastAsia="zh-CN"/>
        </w:rPr>
      </w:pPr>
      <w:r>
        <w:rPr>
          <w:rFonts w:hint="eastAsia"/>
          <w:i/>
          <w:iCs/>
          <w:lang w:val="en-US" w:eastAsia="zh-CN"/>
        </w:rPr>
        <w:t>where the beam index n owns the largest value</w:t>
      </w:r>
    </w:p>
    <w:p>
      <w:pPr>
        <w:numPr>
          <w:ilvl w:val="-1"/>
          <w:numId w:val="0"/>
        </w:numPr>
        <w:spacing w:before="161" w:beforeLines="50" w:after="161" w:afterLines="50"/>
        <w:jc w:val="both"/>
        <w:rPr>
          <w:rFonts w:hint="eastAsia"/>
          <w:b/>
          <w:bCs/>
          <w:i w:val="0"/>
          <w:iCs w:val="0"/>
          <w:lang w:val="en-US" w:eastAsia="zh-CN"/>
        </w:rPr>
      </w:pPr>
      <w:r>
        <w:rPr>
          <w:rFonts w:hint="eastAsia"/>
          <w:b/>
          <w:bCs/>
          <w:i w:val="0"/>
          <w:iCs w:val="0"/>
          <w:lang w:val="en-US" w:eastAsia="zh-CN"/>
        </w:rPr>
        <w:t>Observation 6: For AI beam management, only serving cell downlink Tx beam prediction is in the scope.</w:t>
      </w:r>
    </w:p>
    <w:p>
      <w:pPr>
        <w:numPr>
          <w:ilvl w:val="-1"/>
          <w:numId w:val="0"/>
        </w:numPr>
        <w:spacing w:before="161" w:beforeLines="50" w:after="161" w:afterLines="50"/>
        <w:jc w:val="both"/>
        <w:rPr>
          <w:rFonts w:hint="default"/>
          <w:b/>
          <w:bCs/>
          <w:i w:val="0"/>
          <w:iCs w:val="0"/>
          <w:lang w:val="en-US" w:eastAsia="zh-CN"/>
        </w:rPr>
      </w:pPr>
      <w:r>
        <w:rPr>
          <w:rFonts w:hint="eastAsia"/>
          <w:b/>
          <w:bCs/>
          <w:i w:val="0"/>
          <w:iCs w:val="0"/>
          <w:lang w:val="en-US" w:eastAsia="zh-CN"/>
        </w:rPr>
        <w:t>Observation 7: The groundtruth beams are based on the UE measurement which is more reliable than predicted beams.</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Observation 8: The largest ground truth shall be as the benchmark for definition of relative RSRP accuracy.</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Proposal 4: The formula of relative RSRP accuracy could be:</w:t>
      </w:r>
    </w:p>
    <w:p>
      <w:pPr>
        <w:numPr>
          <w:ilvl w:val="-1"/>
          <w:numId w:val="0"/>
        </w:numPr>
        <w:jc w:val="center"/>
        <w:rPr>
          <w:rFonts w:hint="eastAsia"/>
          <w:b/>
          <w:bCs/>
          <w:i/>
          <w:iCs/>
          <w:lang w:val="en-US" w:eastAsia="zh-CN"/>
        </w:rPr>
      </w:pPr>
      <w:r>
        <w:rPr>
          <w:rFonts w:hint="eastAsia"/>
          <w:b/>
          <w:bCs/>
          <w:i w:val="0"/>
          <w:iCs w:val="0"/>
          <w:lang w:val="en-US" w:eastAsia="zh-CN"/>
        </w:rPr>
        <w:t xml:space="preserve"> </w:t>
      </w:r>
      <w:r>
        <w:rPr>
          <w:rFonts w:hint="eastAsia"/>
          <w:b/>
          <w:bCs/>
          <w:i/>
          <w:iCs/>
          <w:lang w:val="en-US" w:eastAsia="zh-CN"/>
        </w:rPr>
        <w:t>Relative RSRP accuracy=predicted L1-RSRP of beam index i - ground truth of the beam index n ,</w:t>
      </w:r>
    </w:p>
    <w:p>
      <w:pPr>
        <w:numPr>
          <w:ilvl w:val="-1"/>
          <w:numId w:val="0"/>
        </w:numPr>
        <w:jc w:val="center"/>
        <w:rPr>
          <w:rFonts w:hint="eastAsia"/>
          <w:b/>
          <w:bCs/>
          <w:i/>
          <w:iCs/>
          <w:lang w:val="en-US" w:eastAsia="zh-CN"/>
        </w:rPr>
      </w:pPr>
      <w:r>
        <w:rPr>
          <w:rFonts w:hint="eastAsia"/>
          <w:b/>
          <w:bCs/>
          <w:i/>
          <w:iCs/>
          <w:lang w:val="en-US" w:eastAsia="zh-CN"/>
        </w:rPr>
        <w:t>where the beam index n owns the largest value</w:t>
      </w:r>
    </w:p>
    <w:p>
      <w:pPr>
        <w:pStyle w:val="4"/>
        <w:spacing w:before="120" w:after="120" w:line="240" w:lineRule="auto"/>
        <w:rPr>
          <w:rFonts w:hint="default"/>
          <w:sz w:val="20"/>
          <w:szCs w:val="20"/>
          <w:highlight w:val="none"/>
          <w:lang w:val="en-US" w:eastAsia="zh-CN"/>
        </w:rPr>
      </w:pPr>
      <w:r>
        <w:rPr>
          <w:rFonts w:hint="eastAsia"/>
          <w:sz w:val="20"/>
          <w:szCs w:val="20"/>
          <w:highlight w:val="none"/>
          <w:lang w:val="en-US" w:eastAsia="zh-CN"/>
        </w:rPr>
        <w:t>2.1.2 Beam Prediction Accuracy (option 2)</w:t>
      </w:r>
    </w:p>
    <w:p>
      <w:pPr>
        <w:jc w:val="both"/>
        <w:rPr>
          <w:rFonts w:hint="eastAsia"/>
          <w:lang w:val="en-US" w:eastAsia="zh-CN"/>
        </w:rPr>
      </w:pPr>
      <w:r>
        <w:rPr>
          <w:rFonts w:hint="eastAsia"/>
          <w:lang w:val="en-US" w:eastAsia="zh-CN"/>
        </w:rPr>
        <w:t>Option 2 has three sub-options including Top-1(%), Top-K/1(%) and Top-1/K(%), we shall study these three KPIs one by one and decide whether to use them or not.</w:t>
      </w:r>
    </w:p>
    <w:p>
      <w:pPr>
        <w:numPr>
          <w:ilvl w:val="0"/>
          <w:numId w:val="11"/>
        </w:numPr>
        <w:ind w:left="420" w:hanging="420"/>
        <w:jc w:val="both"/>
        <w:rPr>
          <w:rFonts w:hint="eastAsia"/>
          <w:lang w:val="en-US" w:eastAsia="zh-CN"/>
        </w:rPr>
      </w:pPr>
      <w:r>
        <w:rPr>
          <w:rFonts w:hint="eastAsia"/>
          <w:highlight w:val="none"/>
          <w:lang w:val="en-US" w:eastAsia="zh-CN"/>
        </w:rPr>
        <w:t>Top-1(%): th</w:t>
      </w:r>
      <w:r>
        <w:rPr>
          <w:rFonts w:hint="eastAsia"/>
          <w:lang w:val="en-US" w:eastAsia="zh-CN"/>
        </w:rPr>
        <w:t>e predicted best beam is the best ground truth beam. From my perspective, this metric is a little bit strict. Since some companies provide the evaluation that the value between the best ground truth beam and the second best beam is very close that UE may not distinguish both of them especially considering the BB and RF error. For instance, the best predicted beam ID is beam 1, the best groundtruth beam ID is beam 1 and the second best groundtruth beam ID is beam 2, the RSRP difference between both of them is extremely small, UE will wrongly recognize the best groundtruth beam as beam 2, then the UE fails the test. Some companies will ask if the RSRP difference is very closed, it has little impact on the prediction accuracy. We also agree with it, but this metric is related to beam ID and the description show us Top-1 strongest beam ID not the best RSRP accuracy. During the test, the test may be failed because of smallest prediction errors. And the other unreported beams could not be guaranteed. To my understanding, this metric shall be set as low priority.</w:t>
      </w:r>
    </w:p>
    <w:p>
      <w:pPr>
        <w:numPr>
          <w:ilvl w:val="0"/>
          <w:numId w:val="11"/>
        </w:numPr>
        <w:ind w:left="420" w:hanging="420"/>
        <w:jc w:val="both"/>
        <w:rPr>
          <w:rFonts w:hint="eastAsia"/>
          <w:lang w:val="en-US" w:eastAsia="zh-CN"/>
        </w:rPr>
      </w:pPr>
      <w:r>
        <w:rPr>
          <w:rFonts w:hint="eastAsia"/>
          <w:highlight w:val="none"/>
          <w:lang w:val="en-US" w:eastAsia="zh-CN"/>
        </w:rPr>
        <w:t>Top-K/1(%): th</w:t>
      </w:r>
      <w:r>
        <w:rPr>
          <w:rFonts w:hint="eastAsia"/>
          <w:lang w:val="en-US" w:eastAsia="zh-CN"/>
        </w:rPr>
        <w:t xml:space="preserve">e best ground truth beam is one of the Top-K predicted beams. The same situation may be occurred as Top-1(%), the value between the best ground truth beam and the second best beam is very close that UE may not distinguish both of them especially considering the BB and RF error. For example, the Top-2 predicted beams are 1, 2, the best and the second best ground truth beams are 1, 5 and the value difference is 0.2dB. UE may wrongly chooses the best ground truth beam as beam 5, beam 5 is not in the Top-2 beams, then the UE fail the test and the AI model will be updated. This will cause the mistake because of the small difference value between the best and the second best ground truth beams. Thus, this metric could not be used alone, which shall combine with the other metrics like RSRP accuracy. First of all, UE would pass the test if the best ground truth beam is in Top-K predicted beams. If not, the relative RSRP accuracy metric shall be considered or used, which the worst reported beam shall compared to the best ground truth beam. If the RSRP difference is small than the legacy margin or new proposed margin, it means that the UE could pass the test. Also, if the number of K is larger and larger, the probability of the best ground truth beam is in the top-K beams is larger and larger. </w:t>
      </w:r>
    </w:p>
    <w:p>
      <w:pPr>
        <w:numPr>
          <w:ilvl w:val="0"/>
          <w:numId w:val="11"/>
        </w:numPr>
        <w:ind w:left="420" w:hanging="420"/>
        <w:jc w:val="both"/>
        <w:rPr>
          <w:rFonts w:hint="default"/>
          <w:lang w:val="en-US" w:eastAsia="zh-CN"/>
        </w:rPr>
      </w:pPr>
      <w:r>
        <w:rPr>
          <w:rFonts w:hint="eastAsia"/>
          <w:lang w:val="en-US" w:eastAsia="zh-CN"/>
        </w:rPr>
        <w:t>Top-1/K(%): the best predicted beam is one of the Top-K ground truth beam. One issue we may face is that this metric only consider the predicted best beam, but the other predicted beams are not guaranteed. For instance, if the reported Top-3 predicted beams are beam 1, beam 7 and beam 8, the Top-4 ground truth best beams are beam 1, beam 2, beam 3 and beam 4, where the beam 7 and beam 8 are the last two beams in groundtruth beams, we can see that the UE could pass this test based on this performance metric. The best beam only guarantee the current communication, s</w:t>
      </w:r>
      <w:r>
        <w:rPr>
          <w:rFonts w:hint="eastAsia"/>
          <w:lang w:eastAsia="zh-CN"/>
        </w:rPr>
        <w:t xml:space="preserve">witching to the wrong alternative </w:t>
      </w:r>
      <w:r>
        <w:rPr>
          <w:rFonts w:hint="eastAsia"/>
          <w:lang w:val="en-US" w:eastAsia="zh-CN"/>
        </w:rPr>
        <w:t xml:space="preserve">reported </w:t>
      </w:r>
      <w:r>
        <w:rPr>
          <w:rFonts w:hint="eastAsia"/>
          <w:lang w:eastAsia="zh-CN"/>
        </w:rPr>
        <w:t>beam may cause communication interruption when the optimal beam quality decreases or is lost (such as due to occlusion or interference)</w:t>
      </w:r>
      <w:r>
        <w:rPr>
          <w:rFonts w:hint="eastAsia"/>
          <w:lang w:val="en-US" w:eastAsia="zh-CN"/>
        </w:rPr>
        <w:t>. Although the main purpose for AI/ML beam is to select the best beam, the whole system may not work in the field and the whole system will not be ensured. This metric shall be set as low priority.</w:t>
      </w:r>
    </w:p>
    <w:p>
      <w:pPr>
        <w:numPr>
          <w:ilvl w:val="-1"/>
          <w:numId w:val="0"/>
        </w:numPr>
        <w:ind w:left="0" w:firstLine="0"/>
        <w:jc w:val="both"/>
        <w:rPr>
          <w:rFonts w:hint="default"/>
          <w:lang w:val="en-US" w:eastAsia="zh-CN"/>
        </w:rPr>
      </w:pPr>
      <w:r>
        <w:rPr>
          <w:rFonts w:hint="eastAsia"/>
          <w:lang w:val="en-US" w:eastAsia="zh-CN"/>
        </w:rPr>
        <w:t xml:space="preserve">Actually, the most companies point out that Top-1/1 is too strict to pass the test. For that metric, we deem that K=1 and N=1. Then, we could relax that metric to Top-K/1, where K&gt;1 and N=1. if K is larger and larger, the prediction accuracy is more and more accurate. We deem that the K could be relaxed from K=1 to K≥3. Next way is to relax N, that is, Top-1/N which is the same as Top-1/K. We deem that Top-1/K has its own limitation. </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9: For Top-1(%), the test may be failed because of smallest prediction errors.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10: For Top-K/1(%), this metric will cause the mistake because of the small difference value between the best and the second ground truth beams. If the number of K is larger and larger, the probability of the best ground truth beam is in top-K predicted beams is larger and larger.</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Observation 11: For Top-1/K(%), this metric only consider the predicted best beam, but the other predicted beams are not guaranteed, the whole system may be degraded.</w:t>
      </w:r>
    </w:p>
    <w:p>
      <w:pPr>
        <w:numPr>
          <w:ilvl w:val="-1"/>
          <w:numId w:val="0"/>
        </w:numPr>
        <w:spacing w:before="0" w:beforeLines="0" w:after="161" w:afterLines="50"/>
        <w:jc w:val="both"/>
        <w:rPr>
          <w:rFonts w:hint="eastAsia"/>
          <w:b/>
          <w:bCs/>
          <w:lang w:val="en-US" w:eastAsia="zh-CN"/>
        </w:rPr>
      </w:pPr>
      <w:r>
        <w:rPr>
          <w:rFonts w:hint="eastAsia"/>
          <w:b/>
          <w:bCs/>
          <w:lang w:val="en-US" w:eastAsia="zh-CN"/>
        </w:rPr>
        <w:t xml:space="preserve">Proposal 5: For beam prediction accuracy, Top-1(%) and Top-1/K(%) shall be set as low priority. </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6: For Top-K/1(%), the K shall be relaxed to K≥3.</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7: The Top-K/1(%) could be used together with the RSRP accuracy to verify the performance of AI system.</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Beam Prediction Accuracy (option 3)</w:t>
      </w:r>
    </w:p>
    <w:p>
      <w:pPr>
        <w:numPr>
          <w:ilvl w:val="-1"/>
          <w:numId w:val="0"/>
        </w:numPr>
        <w:ind w:left="0" w:firstLine="0"/>
        <w:jc w:val="both"/>
        <w:rPr>
          <w:rFonts w:hint="default"/>
          <w:lang w:val="en-US" w:eastAsia="zh-CN"/>
        </w:rPr>
      </w:pPr>
      <w:r>
        <w:rPr>
          <w:rFonts w:hint="eastAsia"/>
          <w:lang w:val="en-US" w:eastAsia="zh-CN"/>
        </w:rPr>
        <w:t>Option 3 is defined as ,</w:t>
      </w:r>
      <w:r>
        <w:rPr>
          <w:rFonts w:hint="default"/>
          <w:lang w:val="en-US" w:eastAsia="zh-CN"/>
        </w:rPr>
        <w:t>”</w:t>
      </w:r>
      <w:r>
        <w:rPr>
          <w:rStyle w:val="56"/>
          <w:bCs/>
        </w:rPr>
        <w:t>The successful rate for the correct prediction which is considered as maximum RSRP among top-K predicted beams is larger than the RSRP of the strongest beam x dB</w:t>
      </w:r>
      <w:r>
        <w:rPr>
          <w:rStyle w:val="56"/>
          <w:rFonts w:hint="eastAsia" w:eastAsia="宋体"/>
          <w:bCs/>
          <w:lang w:val="en-US" w:eastAsia="zh-CN"/>
        </w:rPr>
        <w:t>.</w:t>
      </w:r>
      <w:r>
        <w:rPr>
          <w:rFonts w:hint="default"/>
          <w:lang w:val="en-US" w:eastAsia="zh-CN"/>
        </w:rPr>
        <w:t>”</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3821430" cy="1866265"/>
            <wp:effectExtent l="0" t="0" r="381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4769\AppData\Local\Microsoft\Windows\INetCache\Content.MSO\23D25266.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821430" cy="1866265"/>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val="en-US" w:eastAsia="zh-CN"/>
        </w:rPr>
        <w:t>3</w:t>
      </w:r>
      <w:r>
        <w:rPr>
          <w:rFonts w:eastAsia="宋体"/>
          <w:szCs w:val="20"/>
          <w:lang w:eastAsia="zh-CN"/>
        </w:rPr>
        <w:t xml:space="preserve"> </w:t>
      </w:r>
      <w:r>
        <w:rPr>
          <w:rFonts w:hint="eastAsia" w:eastAsia="宋体"/>
          <w:szCs w:val="20"/>
          <w:lang w:val="en-US" w:eastAsia="zh-CN"/>
        </w:rPr>
        <w:t xml:space="preserve"> </w:t>
      </w:r>
      <w:r>
        <w:rPr>
          <w:rFonts w:eastAsia="宋体"/>
          <w:szCs w:val="20"/>
          <w:lang w:eastAsia="zh-CN"/>
        </w:rPr>
        <w:t xml:space="preserve">Option 3 for beam management </w:t>
      </w:r>
    </w:p>
    <w:p>
      <w:pPr>
        <w:spacing w:after="120"/>
        <w:jc w:val="both"/>
        <w:rPr>
          <w:rFonts w:eastAsia="宋体"/>
          <w:szCs w:val="20"/>
          <w:lang w:eastAsia="zh-CN"/>
        </w:rPr>
      </w:pPr>
      <w:r>
        <w:rPr>
          <w:rFonts w:eastAsia="宋体"/>
          <w:szCs w:val="20"/>
          <w:lang w:eastAsia="zh-CN"/>
        </w:rPr>
        <w:t xml:space="preserve">Assuming the left one in figure </w:t>
      </w:r>
      <w:r>
        <w:rPr>
          <w:rFonts w:hint="eastAsia" w:eastAsia="宋体"/>
          <w:szCs w:val="20"/>
          <w:lang w:val="en-US" w:eastAsia="zh-CN"/>
        </w:rPr>
        <w:t>2</w:t>
      </w:r>
      <w:r>
        <w:rPr>
          <w:rFonts w:eastAsia="宋体"/>
          <w:szCs w:val="20"/>
          <w:lang w:eastAsia="zh-CN"/>
        </w:rPr>
        <w:t xml:space="preserve"> is the Top-5 predicted beams and the maximum RSRP among top-5 predicted beams is beam 4. The right one in figure is the Top-5 legacy/measured beams and the strongest RSRP is the red one which is the beam 1. The blue one is the reference RSRP value of beam 4. </w:t>
      </w:r>
      <w:r>
        <w:rPr>
          <w:rFonts w:hint="eastAsia" w:eastAsia="宋体"/>
          <w:szCs w:val="20"/>
          <w:lang w:val="en-US" w:eastAsia="zh-CN"/>
        </w:rPr>
        <w:t>The</w:t>
      </w:r>
      <w:r>
        <w:rPr>
          <w:rFonts w:eastAsia="宋体"/>
          <w:szCs w:val="20"/>
          <w:lang w:eastAsia="zh-CN"/>
        </w:rPr>
        <w:t xml:space="preserve"> understanding for option 3 is that the AI/ML model predicted beam 4 which has the strongest RSRP prediction value and corresponding reference RSRP value shall be larger than the strongest reference RSRP value (beam 1) minus x dB:</w:t>
      </w:r>
    </w:p>
    <w:p>
      <w:pPr>
        <w:spacing w:after="120"/>
        <w:jc w:val="center"/>
        <w:rPr>
          <w:rFonts w:eastAsia="宋体"/>
          <w:i/>
          <w:szCs w:val="20"/>
          <w:lang w:eastAsia="zh-CN"/>
        </w:rPr>
      </w:pPr>
      <w:r>
        <w:rPr>
          <w:rFonts w:eastAsia="宋体"/>
          <w:i/>
          <w:szCs w:val="20"/>
          <w:lang w:eastAsia="zh-CN"/>
        </w:rPr>
        <w:t>Beam 4 in top-5 legacy/measured beams &gt; Beam 1 in top-5reference beams – x dB,</w:t>
      </w:r>
    </w:p>
    <w:p>
      <w:pPr>
        <w:spacing w:after="120"/>
        <w:rPr>
          <w:rFonts w:eastAsia="宋体"/>
          <w:szCs w:val="20"/>
          <w:lang w:eastAsia="zh-CN"/>
        </w:rPr>
      </w:pPr>
      <w:r>
        <w:rPr>
          <w:rFonts w:eastAsia="宋体"/>
          <w:szCs w:val="20"/>
          <w:lang w:eastAsia="zh-CN"/>
        </w:rPr>
        <w:t>then the test will pass.</w:t>
      </w:r>
    </w:p>
    <w:p>
      <w:pPr>
        <w:spacing w:after="120"/>
        <w:rPr>
          <w:rFonts w:eastAsia="宋体"/>
          <w:szCs w:val="20"/>
          <w:lang w:eastAsia="zh-CN"/>
        </w:rPr>
      </w:pPr>
      <w:r>
        <w:rPr>
          <w:rFonts w:eastAsia="宋体"/>
          <w:szCs w:val="20"/>
          <w:lang w:eastAsia="zh-CN"/>
        </w:rPr>
        <w:t>The following instance can be as reference, assuming:</w:t>
      </w:r>
    </w:p>
    <w:p>
      <w:pPr>
        <w:spacing w:after="120"/>
        <w:rPr>
          <w:rFonts w:eastAsia="宋体"/>
          <w:szCs w:val="20"/>
          <w:lang w:eastAsia="zh-CN"/>
        </w:rPr>
      </w:pPr>
      <w:r>
        <w:rPr>
          <w:rFonts w:eastAsia="宋体"/>
          <w:szCs w:val="20"/>
          <w:lang w:eastAsia="zh-CN"/>
        </w:rPr>
        <w:t xml:space="preserve">RSRP of predicted beams: </w:t>
      </w:r>
      <w:r>
        <w:rPr>
          <w:rFonts w:eastAsia="宋体"/>
          <w:szCs w:val="20"/>
          <w:highlight w:val="yellow"/>
          <w:lang w:eastAsia="zh-CN"/>
        </w:rPr>
        <w:t xml:space="preserve">beam 1 </w:t>
      </w:r>
      <w:r>
        <w:rPr>
          <w:rFonts w:hint="eastAsia" w:eastAsia="宋体"/>
          <w:szCs w:val="20"/>
          <w:highlight w:val="yellow"/>
          <w:lang w:eastAsia="zh-CN"/>
        </w:rPr>
        <w:t>=</w:t>
      </w:r>
      <w:r>
        <w:rPr>
          <w:rFonts w:eastAsia="宋体"/>
          <w:szCs w:val="20"/>
          <w:highlight w:val="yellow"/>
          <w:lang w:eastAsia="zh-CN"/>
        </w:rPr>
        <w:t xml:space="preserve"> </w:t>
      </w:r>
      <w:r>
        <w:rPr>
          <w:rFonts w:hint="eastAsia" w:eastAsia="宋体"/>
          <w:szCs w:val="20"/>
          <w:highlight w:val="yellow"/>
          <w:lang w:eastAsia="zh-CN"/>
        </w:rPr>
        <w:t>-79d</w:t>
      </w:r>
      <w:r>
        <w:rPr>
          <w:rFonts w:eastAsia="宋体"/>
          <w:szCs w:val="20"/>
          <w:highlight w:val="yellow"/>
          <w:lang w:eastAsia="zh-CN"/>
        </w:rPr>
        <w:t>Bm</w:t>
      </w:r>
      <w:r>
        <w:rPr>
          <w:rFonts w:eastAsia="宋体"/>
          <w:szCs w:val="20"/>
          <w:lang w:eastAsia="zh-CN"/>
        </w:rPr>
        <w:t>, beam 2 = -81dBm, beam 3 = -90dBm,</w:t>
      </w:r>
    </w:p>
    <w:p>
      <w:pPr>
        <w:spacing w:after="120"/>
        <w:rPr>
          <w:rFonts w:eastAsia="宋体"/>
          <w:szCs w:val="20"/>
          <w:lang w:eastAsia="zh-CN"/>
        </w:rPr>
      </w:pPr>
      <w:r>
        <w:rPr>
          <w:rFonts w:eastAsia="宋体"/>
          <w:szCs w:val="20"/>
          <w:lang w:eastAsia="zh-CN"/>
        </w:rPr>
        <w:t xml:space="preserve">RSRP of reference beams: </w:t>
      </w:r>
      <w:r>
        <w:rPr>
          <w:rFonts w:eastAsia="宋体"/>
          <w:szCs w:val="20"/>
          <w:highlight w:val="cyan"/>
          <w:lang w:eastAsia="zh-CN"/>
        </w:rPr>
        <w:t>beam 1 = -80dBm</w:t>
      </w:r>
      <w:r>
        <w:rPr>
          <w:rFonts w:eastAsia="宋体"/>
          <w:szCs w:val="20"/>
          <w:lang w:eastAsia="zh-CN"/>
        </w:rPr>
        <w:t xml:space="preserve">, </w:t>
      </w:r>
      <w:r>
        <w:rPr>
          <w:rFonts w:eastAsia="宋体"/>
          <w:szCs w:val="20"/>
          <w:highlight w:val="yellow"/>
          <w:lang w:eastAsia="zh-CN"/>
        </w:rPr>
        <w:t>beam 2 = -79dBm,</w:t>
      </w:r>
      <w:r>
        <w:rPr>
          <w:rFonts w:eastAsia="宋体"/>
          <w:szCs w:val="20"/>
          <w:lang w:eastAsia="zh-CN"/>
        </w:rPr>
        <w:t xml:space="preserve"> beam 3 = -91dBm,</w:t>
      </w:r>
    </w:p>
    <w:p>
      <w:pPr>
        <w:spacing w:after="120"/>
        <w:jc w:val="both"/>
        <w:rPr>
          <w:rFonts w:hint="eastAsia"/>
          <w:lang w:val="en-US" w:eastAsia="zh-CN"/>
        </w:rPr>
      </w:pPr>
      <w:r>
        <w:rPr>
          <w:rFonts w:eastAsia="宋体"/>
          <w:szCs w:val="20"/>
          <w:lang w:eastAsia="zh-CN"/>
        </w:rPr>
        <w:t>if Top-K = Top-1, the UE would like to report beam 1 which has the largest RSRP predicted value. As this interpretation, the RSRP difference is between measured beam 1 and the measured beam 2, that is, beam 2-beam 1&lt;x dBm. If the RSRP difference is assumed as 3dBm, the test will pass since the RSRP difference between reference beam 1 and beam 2 is 1dBm which is smaller than the threshold.</w:t>
      </w:r>
      <w:r>
        <w:rPr>
          <w:rFonts w:hint="eastAsia" w:eastAsia="宋体"/>
          <w:szCs w:val="20"/>
          <w:lang w:val="en-US" w:eastAsia="zh-CN"/>
        </w:rPr>
        <w:t xml:space="preserve"> </w:t>
      </w:r>
      <w:r>
        <w:rPr>
          <w:rFonts w:hint="eastAsia"/>
          <w:lang w:val="en-US" w:eastAsia="zh-CN"/>
        </w:rPr>
        <w:t xml:space="preserve">One issue we may face is that this metric only considers the predicted best beam, but the other predicted beams are not guaranteed. Although the main purpose for AI/ML beam is to select the best beam, the whole system may not work in the field if the other predicted beams are not verified and the whole system will not be ensured same as Top-1/K(%). </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12: Option 3 only considers the predicted best beam, but the other predicted beams are not guaranteed. Although the main purpose for AI/ML beam is to select the best beam, the whole system may not work in the field and the whole system will not be ensured.</w:t>
      </w:r>
    </w:p>
    <w:p>
      <w:pPr>
        <w:numPr>
          <w:ilvl w:val="0"/>
          <w:numId w:val="0"/>
        </w:numPr>
        <w:spacing w:before="161" w:beforeLines="50" w:after="161" w:afterLines="50"/>
        <w:jc w:val="both"/>
        <w:rPr>
          <w:rFonts w:hint="default"/>
          <w:lang w:val="en-US" w:eastAsia="zh-CN"/>
        </w:rPr>
      </w:pPr>
      <w:r>
        <w:rPr>
          <w:rFonts w:hint="eastAsia"/>
          <w:b/>
          <w:bCs/>
          <w:lang w:val="en-US" w:eastAsia="zh-CN"/>
        </w:rPr>
        <w:t>Proposal 8: At least the option 3 could not be precluded which could be set as low priority.</w:t>
      </w:r>
    </w:p>
    <w:p>
      <w:pPr>
        <w:pStyle w:val="3"/>
        <w:rPr>
          <w:rFonts w:hint="eastAsia"/>
          <w:sz w:val="24"/>
          <w:szCs w:val="24"/>
          <w:lang w:val="en-US" w:eastAsia="zh-CN"/>
        </w:rPr>
      </w:pPr>
      <w:r>
        <w:rPr>
          <w:rFonts w:hint="eastAsia"/>
          <w:sz w:val="24"/>
          <w:szCs w:val="24"/>
          <w:lang w:val="en-US" w:eastAsia="zh-CN"/>
        </w:rPr>
        <w:t xml:space="preserve">2.2 Prediction delay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without any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iCs/>
                <w:lang w:eastAsia="zh-CN"/>
              </w:rPr>
            </w:pPr>
            <w:r>
              <w:rPr>
                <w:b/>
                <w:bCs/>
                <w:iCs/>
                <w:lang w:eastAsia="zh-CN"/>
              </w:rPr>
              <w:t>Agreement:</w:t>
            </w:r>
          </w:p>
          <w:p>
            <w:pPr>
              <w:pStyle w:val="31"/>
              <w:numPr>
                <w:ilvl w:val="0"/>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Prediction delay include</w:t>
            </w:r>
            <w:r>
              <w:rPr>
                <w:rFonts w:eastAsia="Yu Mincho"/>
                <w:lang w:eastAsia="ja-JP"/>
              </w:rPr>
              <w:t>s</w:t>
            </w:r>
            <w:r>
              <w:rPr>
                <w:rFonts w:hint="eastAsia" w:eastAsia="Yu Mincho"/>
                <w:lang w:eastAsia="ja-JP"/>
              </w:rPr>
              <w:t>:</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Measurement</w:t>
            </w:r>
            <w:r>
              <w:rPr>
                <w:rFonts w:hint="eastAsia" w:eastAsia="Yu Mincho"/>
                <w:lang w:eastAsia="ja-JP"/>
              </w:rPr>
              <w:t xml:space="preserve"> for prediction</w:t>
            </w:r>
          </w:p>
          <w:p>
            <w:pPr>
              <w:pStyle w:val="31"/>
              <w:numPr>
                <w:ilvl w:val="2"/>
                <w:numId w:val="12"/>
              </w:numPr>
              <w:overflowPunct w:val="0"/>
              <w:autoSpaceDE w:val="0"/>
              <w:autoSpaceDN w:val="0"/>
              <w:adjustRightInd w:val="0"/>
              <w:ind w:firstLineChars="0"/>
              <w:textAlignment w:val="baseline"/>
              <w:rPr>
                <w:rFonts w:eastAsia="Yu Mincho"/>
                <w:lang w:eastAsia="ja-JP"/>
              </w:rPr>
            </w:pPr>
            <w:r>
              <w:rPr>
                <w:rFonts w:eastAsia="Yu Mincho"/>
                <w:lang w:eastAsia="ja-JP"/>
              </w:rPr>
              <w:t>FFS on whether the legacy measurement delay can be reused</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hint="eastAsia" w:eastAsia="Yu Mincho"/>
                <w:lang w:eastAsia="ja-JP"/>
              </w:rPr>
              <w:t>Inference delay</w:t>
            </w:r>
          </w:p>
          <w:p>
            <w:pPr>
              <w:pStyle w:val="31"/>
              <w:numPr>
                <w:ilvl w:val="1"/>
                <w:numId w:val="12"/>
              </w:numPr>
              <w:overflowPunct w:val="0"/>
              <w:autoSpaceDE w:val="0"/>
              <w:autoSpaceDN w:val="0"/>
              <w:adjustRightInd w:val="0"/>
              <w:ind w:firstLineChars="0"/>
              <w:textAlignment w:val="baseline"/>
              <w:rPr>
                <w:rFonts w:eastAsia="Yu Mincho"/>
                <w:lang w:eastAsia="ja-JP"/>
              </w:rPr>
            </w:pPr>
            <w:r>
              <w:rPr>
                <w:rFonts w:eastAsia="Yu Mincho"/>
                <w:lang w:eastAsia="ja-JP"/>
              </w:rPr>
              <w:t>O</w:t>
            </w:r>
            <w:r>
              <w:rPr>
                <w:rFonts w:hint="eastAsia" w:eastAsia="Yu Mincho"/>
                <w:lang w:eastAsia="ja-JP"/>
              </w:rPr>
              <w:t>ther components are FFS</w:t>
            </w:r>
          </w:p>
          <w:p>
            <w:pPr>
              <w:rPr>
                <w:rFonts w:hint="eastAsia"/>
                <w:vertAlign w:val="baseline"/>
                <w:lang w:val="en-US" w:eastAsia="zh-CN"/>
              </w:rPr>
            </w:pPr>
          </w:p>
        </w:tc>
      </w:tr>
    </w:tbl>
    <w:p>
      <w:pPr>
        <w:rPr>
          <w:rFonts w:hint="eastAsia"/>
          <w:lang w:val="en-US" w:eastAsia="zh-CN"/>
        </w:rPr>
      </w:pPr>
      <w:r>
        <w:rPr>
          <w:rFonts w:hint="eastAsia"/>
          <w:lang w:val="en-US" w:eastAsia="zh-CN"/>
        </w:rPr>
        <w:t xml:space="preserve">Before we RAN4 defining the prediction delay requirements, the components of prediction delay shall be firstly decided, and then the specific requirements could be considered. </w:t>
      </w:r>
    </w:p>
    <w:p>
      <w:pPr>
        <w:spacing w:before="161" w:beforeLines="50" w:after="161" w:afterLines="50"/>
        <w:jc w:val="both"/>
        <w:rPr>
          <w:rFonts w:hint="eastAsia"/>
          <w:b/>
          <w:bCs/>
          <w:i/>
          <w:iCs/>
          <w:lang w:val="en-US" w:eastAsia="zh-CN"/>
        </w:rPr>
      </w:pPr>
      <w:r>
        <w:rPr>
          <w:rFonts w:hint="eastAsia"/>
          <w:b/>
          <w:bCs/>
          <w:i/>
          <w:iCs/>
          <w:lang w:val="en-US" w:eastAsia="zh-CN"/>
        </w:rPr>
        <w:t>Potential components in prediction delay</w:t>
      </w:r>
    </w:p>
    <w:p>
      <w:pPr>
        <w:rPr>
          <w:rFonts w:hint="eastAsia"/>
          <w:lang w:val="en-US" w:eastAsia="zh-CN"/>
        </w:rPr>
      </w:pPr>
      <w:r>
        <w:rPr>
          <w:rFonts w:hint="eastAsia"/>
          <w:lang w:val="en-US" w:eastAsia="zh-CN"/>
        </w:rPr>
        <w:t>To my understanding, the following figure could show us the concrete components in prediction delay:</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62680" cy="866140"/>
            <wp:effectExtent l="0" t="0" r="0"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a:stretch>
                      <a:fillRect/>
                    </a:stretch>
                  </pic:blipFill>
                  <pic:spPr>
                    <a:xfrm>
                      <a:off x="0" y="0"/>
                      <a:ext cx="3662680" cy="866140"/>
                    </a:xfrm>
                    <a:prstGeom prst="rect">
                      <a:avLst/>
                    </a:prstGeom>
                    <a:noFill/>
                    <a:ln w="9525">
                      <a:noFill/>
                    </a:ln>
                  </pic:spPr>
                </pic:pic>
              </a:graphicData>
            </a:graphic>
          </wp:inline>
        </w:drawing>
      </w:r>
    </w:p>
    <w:p>
      <w:pPr>
        <w:jc w:val="center"/>
        <w:rPr>
          <w:rFonts w:hint="default"/>
          <w:lang w:val="en-US" w:eastAsia="zh-CN"/>
        </w:rPr>
      </w:pPr>
      <w:r>
        <w:rPr>
          <w:rFonts w:hint="eastAsia"/>
          <w:lang w:val="en-US" w:eastAsia="zh-CN"/>
        </w:rPr>
        <w:t>Figure 4 Prediction delay</w:t>
      </w:r>
    </w:p>
    <w:p>
      <w:pPr>
        <w:jc w:val="both"/>
        <w:rPr>
          <w:rFonts w:hint="eastAsia"/>
          <w:lang w:val="en-US" w:eastAsia="zh-CN"/>
        </w:rPr>
      </w:pPr>
      <w:r>
        <w:rPr>
          <w:rFonts w:hint="eastAsia"/>
          <w:lang w:val="en-US" w:eastAsia="zh-CN"/>
        </w:rPr>
        <w:t>Based on figure 3, we think that the whole processing delay contains three parts, the starting point is collection of input data and the ending point is UE reporting the predicted results to gNB:</w:t>
      </w:r>
    </w:p>
    <w:p>
      <w:pPr>
        <w:numPr>
          <w:ilvl w:val="0"/>
          <w:numId w:val="13"/>
        </w:numPr>
        <w:ind w:left="420" w:hanging="420"/>
        <w:jc w:val="both"/>
        <w:rPr>
          <w:rFonts w:hint="eastAsia"/>
          <w:lang w:val="en-US" w:eastAsia="zh-CN"/>
        </w:rPr>
      </w:pPr>
      <w:r>
        <w:rPr>
          <w:rFonts w:hint="eastAsia"/>
          <w:lang w:val="en-US" w:eastAsia="zh-CN"/>
        </w:rPr>
        <w:t>Measurement delay: The time for measurement of SetB which is the input for inference.</w:t>
      </w:r>
    </w:p>
    <w:p>
      <w:pPr>
        <w:numPr>
          <w:ilvl w:val="0"/>
          <w:numId w:val="13"/>
        </w:numPr>
        <w:ind w:left="420" w:hanging="420"/>
        <w:jc w:val="both"/>
        <w:rPr>
          <w:rFonts w:hint="eastAsia"/>
          <w:lang w:val="en-US" w:eastAsia="zh-CN"/>
        </w:rPr>
      </w:pPr>
      <w:r>
        <w:rPr>
          <w:rFonts w:hint="eastAsia"/>
          <w:lang w:val="en-US" w:eastAsia="zh-CN"/>
        </w:rPr>
        <w:t>Inference delay: The time for inference from starting performing inference to generate the prediction results.</w:t>
      </w:r>
    </w:p>
    <w:p>
      <w:pPr>
        <w:numPr>
          <w:ilvl w:val="0"/>
          <w:numId w:val="13"/>
        </w:numPr>
        <w:ind w:left="420" w:hanging="420"/>
        <w:jc w:val="both"/>
        <w:rPr>
          <w:rFonts w:hint="default"/>
          <w:lang w:val="en-US" w:eastAsia="zh-CN"/>
        </w:rPr>
      </w:pPr>
      <w:r>
        <w:rPr>
          <w:rFonts w:hint="eastAsia"/>
          <w:lang w:val="en-US" w:eastAsia="zh-CN"/>
        </w:rPr>
        <w:t xml:space="preserve">Reporting delay: </w:t>
      </w:r>
      <w:r>
        <w:rPr>
          <w:rFonts w:hint="eastAsia"/>
          <w:lang w:eastAsia="zh-CN"/>
        </w:rPr>
        <w:t xml:space="preserve">The time between </w:t>
      </w:r>
      <w:r>
        <w:rPr>
          <w:rFonts w:hint="eastAsia"/>
          <w:lang w:val="en-US" w:eastAsia="zh-CN"/>
        </w:rPr>
        <w:t xml:space="preserve">the </w:t>
      </w:r>
      <w:r>
        <w:rPr>
          <w:rFonts w:hint="eastAsia"/>
          <w:lang w:eastAsia="zh-CN"/>
        </w:rPr>
        <w:t>report</w:t>
      </w:r>
      <w:r>
        <w:rPr>
          <w:rFonts w:hint="eastAsia"/>
          <w:lang w:val="en-US" w:eastAsia="zh-CN"/>
        </w:rPr>
        <w:t xml:space="preserve"> triggering</w:t>
      </w:r>
      <w:r>
        <w:rPr>
          <w:rFonts w:hint="eastAsia"/>
          <w:lang w:eastAsia="zh-CN"/>
        </w:rPr>
        <w:t xml:space="preserve"> and the point when the UE starts to transmit the outputs over the air.</w:t>
      </w:r>
      <w:r>
        <w:rPr>
          <w:rFonts w:hint="eastAsia"/>
          <w:lang w:val="en-US" w:eastAsia="zh-CN"/>
        </w:rPr>
        <w:t>.</w:t>
      </w:r>
    </w:p>
    <w:p>
      <w:pPr>
        <w:numPr>
          <w:ilvl w:val="-1"/>
          <w:numId w:val="0"/>
        </w:numPr>
        <w:ind w:left="0" w:firstLine="0"/>
        <w:jc w:val="both"/>
        <w:rPr>
          <w:rFonts w:hint="eastAsia"/>
          <w:b/>
          <w:bCs/>
          <w:lang w:val="en-US" w:eastAsia="zh-CN"/>
        </w:rPr>
      </w:pPr>
      <w:r>
        <w:rPr>
          <w:rFonts w:hint="eastAsia"/>
          <w:b/>
          <w:bCs/>
          <w:lang w:val="en-US" w:eastAsia="zh-CN"/>
        </w:rPr>
        <w:t>Proposal 9: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spacing w:before="161" w:beforeLines="50" w:after="161" w:afterLines="50"/>
        <w:jc w:val="both"/>
        <w:rPr>
          <w:rFonts w:hint="eastAsia"/>
          <w:b/>
          <w:bCs/>
          <w:i/>
          <w:iCs/>
          <w:lang w:val="en-US" w:eastAsia="zh-CN"/>
        </w:rPr>
      </w:pPr>
      <w:r>
        <w:rPr>
          <w:rFonts w:hint="eastAsia"/>
          <w:b/>
          <w:bCs/>
          <w:i/>
          <w:iCs/>
          <w:lang w:val="en-US" w:eastAsia="zh-CN"/>
        </w:rPr>
        <w:t>How to define the prediction delay requirements</w:t>
      </w:r>
    </w:p>
    <w:p>
      <w:pPr>
        <w:numPr>
          <w:ilvl w:val="-1"/>
          <w:numId w:val="0"/>
        </w:numPr>
        <w:ind w:left="0" w:firstLine="0"/>
        <w:jc w:val="both"/>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ind w:left="0" w:firstLine="0"/>
        <w:jc w:val="both"/>
        <w:rPr>
          <w:rFonts w:hint="eastAsia"/>
          <w:lang w:val="en-US" w:eastAsia="zh-CN"/>
        </w:rPr>
      </w:pPr>
      <w:r>
        <w:rPr>
          <w:rFonts w:hint="eastAsia"/>
          <w:lang w:val="en-US" w:eastAsia="zh-CN"/>
        </w:rPr>
        <w:t>However, there is an agreement related to inference delay in RAN4 #114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spacing w:before="120" w:beforeLines="50" w:after="120" w:afterLines="50"/>
              <w:rPr>
                <w:lang w:eastAsia="zh-CN"/>
              </w:rPr>
            </w:pPr>
            <w:r>
              <w:rPr>
                <w:rFonts w:hint="eastAsia"/>
                <w:highlight w:val="green"/>
                <w:lang w:eastAsia="zh-CN"/>
              </w:rPr>
              <w:t>A</w:t>
            </w:r>
            <w:r>
              <w:rPr>
                <w:highlight w:val="green"/>
                <w:lang w:eastAsia="zh-CN"/>
              </w:rPr>
              <w:t>greement:</w:t>
            </w:r>
            <w:r>
              <w:rPr>
                <w:lang w:eastAsia="zh-CN"/>
              </w:rPr>
              <w:t xml:space="preserve"> </w:t>
            </w:r>
          </w:p>
          <w:p>
            <w:pPr>
              <w:pStyle w:val="31"/>
              <w:numPr>
                <w:ilvl w:val="0"/>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Use the following as the starting point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eastAsia="游明朝"/>
                <w:sz w:val="20"/>
                <w:szCs w:val="20"/>
                <w:lang w:eastAsia="ja-JP"/>
              </w:rPr>
              <w:t>I</w:t>
            </w:r>
            <w:r>
              <w:rPr>
                <w:rFonts w:hint="eastAsia" w:eastAsia="游明朝"/>
                <w:sz w:val="20"/>
                <w:szCs w:val="20"/>
                <w:lang w:eastAsia="ja-JP"/>
              </w:rPr>
              <w:t xml:space="preserve">nference latency </w:t>
            </w:r>
            <w:r>
              <w:rPr>
                <w:rFonts w:eastAsia="游明朝"/>
                <w:sz w:val="20"/>
                <w:szCs w:val="20"/>
                <w:lang w:eastAsia="ja-JP"/>
              </w:rPr>
              <w:t>can</w:t>
            </w:r>
            <w:r>
              <w:rPr>
                <w:rFonts w:hint="eastAsia" w:eastAsia="游明朝"/>
                <w:sz w:val="20"/>
                <w:szCs w:val="20"/>
                <w:lang w:eastAsia="ja-JP"/>
              </w:rPr>
              <w:t xml:space="preserve"> be </w:t>
            </w:r>
            <w:r>
              <w:rPr>
                <w:rFonts w:eastAsia="游明朝"/>
                <w:sz w:val="20"/>
                <w:szCs w:val="20"/>
                <w:lang w:eastAsia="ja-JP"/>
              </w:rPr>
              <w:t>implicitly</w:t>
            </w:r>
            <w:r>
              <w:rPr>
                <w:rFonts w:hint="eastAsia" w:eastAsia="游明朝"/>
                <w:sz w:val="20"/>
                <w:szCs w:val="20"/>
                <w:lang w:eastAsia="ja-JP"/>
              </w:rPr>
              <w:t xml:space="preserve"> captured in the delay of corresponding procedures</w:t>
            </w:r>
            <w:r>
              <w:rPr>
                <w:rFonts w:eastAsia="游明朝"/>
                <w:sz w:val="20"/>
                <w:szCs w:val="20"/>
                <w:lang w:eastAsia="ja-JP"/>
              </w:rPr>
              <w:t xml:space="preserve"> </w:t>
            </w:r>
            <w:r>
              <w:rPr>
                <w:rFonts w:hint="eastAsia" w:eastAsia="游明朝"/>
                <w:sz w:val="20"/>
                <w:szCs w:val="20"/>
                <w:lang w:eastAsia="ja-JP"/>
              </w:rPr>
              <w:t>(e.g. reporting delay)</w:t>
            </w:r>
            <w:r>
              <w:rPr>
                <w:rFonts w:eastAsia="游明朝"/>
                <w:sz w:val="20"/>
                <w:szCs w:val="20"/>
                <w:lang w:eastAsia="ja-JP"/>
              </w:rPr>
              <w:t xml:space="preserve"> </w:t>
            </w:r>
            <w:r>
              <w:rPr>
                <w:rFonts w:hint="eastAsia" w:eastAsia="游明朝"/>
                <w:sz w:val="20"/>
                <w:szCs w:val="20"/>
                <w:lang w:eastAsia="ja-JP"/>
              </w:rPr>
              <w:t>and/or performance requirements</w:t>
            </w:r>
            <w:r>
              <w:rPr>
                <w:rFonts w:eastAsia="游明朝"/>
                <w:sz w:val="20"/>
                <w:szCs w:val="20"/>
                <w:lang w:eastAsia="ja-JP"/>
              </w:rPr>
              <w:t>.</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I</w:t>
            </w:r>
            <w:r>
              <w:rPr>
                <w:rFonts w:eastAsia="游明朝"/>
                <w:sz w:val="20"/>
                <w:szCs w:val="20"/>
                <w:lang w:eastAsia="ja-JP"/>
              </w:rPr>
              <w:t>nference latency is part of delay of the corresponding procedure and no separate requirement will be specified for inference latency.</w:t>
            </w:r>
          </w:p>
          <w:p>
            <w:pPr>
              <w:pStyle w:val="31"/>
              <w:numPr>
                <w:ilvl w:val="1"/>
                <w:numId w:val="14"/>
              </w:numPr>
              <w:overflowPunct w:val="0"/>
              <w:autoSpaceDE w:val="0"/>
              <w:autoSpaceDN w:val="0"/>
              <w:adjustRightInd w:val="0"/>
              <w:spacing w:before="120" w:beforeLines="50" w:after="120" w:afterLines="50"/>
              <w:contextualSpacing w:val="0"/>
              <w:textAlignment w:val="baseline"/>
              <w:rPr>
                <w:sz w:val="20"/>
                <w:szCs w:val="20"/>
                <w:lang w:eastAsia="zh-CN"/>
              </w:rPr>
            </w:pPr>
            <w:r>
              <w:rPr>
                <w:rFonts w:hint="eastAsia" w:eastAsia="游明朝"/>
                <w:sz w:val="20"/>
                <w:szCs w:val="20"/>
                <w:lang w:eastAsia="ja-JP"/>
              </w:rPr>
              <w:t>C</w:t>
            </w:r>
            <w:r>
              <w:rPr>
                <w:rFonts w:eastAsia="游明朝"/>
                <w:sz w:val="20"/>
                <w:szCs w:val="20"/>
                <w:lang w:eastAsia="ja-JP"/>
              </w:rPr>
              <w:t>heck the above bullets based on per use case, and if other WGs define the inference latency, RAN4 can revisit the above bullets.</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It is observed that inference latency will be implicitly captured in the delay of corresponding procedures and RAN4 shall not define the separate requirements for inference latency. RAN1 has not define the inference latency so far, so RAN4 shall define other requirements including inference latency implicitly. The above agreement suggests that the inference latency could be captured in reporting delay, so figure 3 shall be modified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53485" cy="1334135"/>
            <wp:effectExtent l="0" t="0" r="1079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9"/>
                    <a:stretch>
                      <a:fillRect/>
                    </a:stretch>
                  </pic:blipFill>
                  <pic:spPr>
                    <a:xfrm>
                      <a:off x="0" y="0"/>
                      <a:ext cx="3753485" cy="1334135"/>
                    </a:xfrm>
                    <a:prstGeom prst="rect">
                      <a:avLst/>
                    </a:prstGeom>
                    <a:noFill/>
                    <a:ln w="9525">
                      <a:noFill/>
                    </a:ln>
                  </pic:spPr>
                </pic:pic>
              </a:graphicData>
            </a:graphic>
          </wp:inline>
        </w:drawing>
      </w:r>
    </w:p>
    <w:p>
      <w:pPr>
        <w:keepNext w:val="0"/>
        <w:keepLines w:val="0"/>
        <w:widowControl/>
        <w:suppressLineNumbers w:val="0"/>
        <w:jc w:val="center"/>
        <w:rPr>
          <w:rFonts w:hint="default" w:eastAsia="宋体"/>
          <w:lang w:val="en-US" w:eastAsia="zh-CN"/>
        </w:rPr>
      </w:pPr>
      <w:r>
        <w:rPr>
          <w:rFonts w:hint="eastAsia" w:eastAsia="宋体"/>
          <w:lang w:val="en-US" w:eastAsia="zh-CN"/>
        </w:rPr>
        <w:t>Figure 5 Modified prediction delay</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SetB measurement which is legacy L1-RSRP measurement, we propose to use the legacy measurement period as baseline or starting point.</w:t>
      </w:r>
    </w:p>
    <w:p>
      <w:pPr>
        <w:numPr>
          <w:ilvl w:val="-1"/>
          <w:numId w:val="0"/>
        </w:numPr>
        <w:spacing w:before="161" w:beforeLines="50" w:after="161" w:afterLines="50"/>
        <w:ind w:left="0" w:firstLine="0"/>
        <w:jc w:val="both"/>
        <w:rPr>
          <w:rFonts w:hint="default"/>
          <w:lang w:val="en-US" w:eastAsia="zh-CN"/>
        </w:rPr>
      </w:pPr>
      <w:r>
        <w:rPr>
          <w:rFonts w:hint="eastAsia"/>
          <w:lang w:val="en-US" w:eastAsia="zh-CN"/>
        </w:rPr>
        <w:t>For</w:t>
      </w:r>
      <w:r>
        <w:rPr>
          <w:rFonts w:hint="eastAsia"/>
          <w:highlight w:val="none"/>
          <w:lang w:val="en-US" w:eastAsia="zh-CN"/>
        </w:rPr>
        <w:t xml:space="preserve"> reporting delay </w:t>
      </w:r>
      <w:r>
        <w:rPr>
          <w:rFonts w:hint="eastAsia"/>
          <w:lang w:val="en-US" w:eastAsia="zh-CN"/>
        </w:rPr>
        <w:t>(including inference latency), RAN4 shall wait for other WGs</w:t>
      </w:r>
      <w:r>
        <w:rPr>
          <w:rFonts w:hint="default"/>
          <w:lang w:val="en-US" w:eastAsia="zh-CN"/>
        </w:rPr>
        <w:t>’</w:t>
      </w:r>
      <w:r>
        <w:rPr>
          <w:rFonts w:hint="eastAsia"/>
          <w:lang w:val="en-US" w:eastAsia="zh-CN"/>
        </w:rPr>
        <w:t xml:space="preserve"> discussion on the concrete reporting mechanism.</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10: The legacy L1-RSRP measurement period shall be as baseline or starting point.</w:t>
      </w:r>
    </w:p>
    <w:p>
      <w:pPr>
        <w:numPr>
          <w:ilvl w:val="-1"/>
          <w:numId w:val="0"/>
        </w:numPr>
        <w:spacing w:before="161" w:beforeLines="50" w:after="161" w:afterLines="50"/>
        <w:ind w:left="0" w:firstLine="0"/>
        <w:jc w:val="both"/>
        <w:rPr>
          <w:rFonts w:hint="eastAsia"/>
          <w:b/>
          <w:bCs/>
          <w:highlight w:val="none"/>
          <w:lang w:val="en-US" w:eastAsia="zh-CN"/>
        </w:rPr>
      </w:pPr>
      <w:r>
        <w:rPr>
          <w:rFonts w:hint="eastAsia"/>
          <w:b/>
          <w:bCs/>
          <w:lang w:val="en-US" w:eastAsia="zh-CN"/>
        </w:rPr>
        <w:t>Proposal 11: Postpone discussion on reporting requirements until other WGs reach the conclusion on rep</w:t>
      </w:r>
      <w:r>
        <w:rPr>
          <w:rFonts w:hint="eastAsia"/>
          <w:b/>
          <w:bCs/>
          <w:highlight w:val="none"/>
          <w:lang w:val="en-US" w:eastAsia="zh-CN"/>
        </w:rPr>
        <w:t>orting mechanism.</w:t>
      </w:r>
    </w:p>
    <w:p>
      <w:pPr>
        <w:pStyle w:val="3"/>
        <w:rPr>
          <w:rFonts w:hint="eastAsia"/>
          <w:sz w:val="24"/>
          <w:szCs w:val="24"/>
          <w:highlight w:val="none"/>
          <w:lang w:val="en-US" w:eastAsia="zh-CN"/>
        </w:rPr>
      </w:pPr>
      <w:r>
        <w:rPr>
          <w:rFonts w:hint="eastAsia"/>
          <w:sz w:val="24"/>
          <w:szCs w:val="24"/>
          <w:highlight w:val="none"/>
          <w:lang w:val="en-US" w:eastAsia="zh-CN"/>
        </w:rPr>
        <w:t>2.3 TCI state activation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For AI beam prediction, UE firstly performs the L1-RSRP measurement for Set B as the input of AI model. The AI model generates the output which is the predicted Set A, and the AI model is the UE-side model. UE would report the final output to network, then network configures TCI state activation. RAN4 actually defines the active TCI state switching delay based on known TCI state or unknown TCI state in legacy, that is, different TCI state conditions mean the different TCI state switching delay. The legacy known conditions for TCI state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jc w:val="both"/>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pPr>
              <w:jc w:val="both"/>
            </w:pPr>
            <w:r>
              <w:rPr>
                <w:lang w:eastAsia="zh-CN"/>
              </w:rPr>
              <w:t>-</w:t>
            </w:r>
            <w:r>
              <w:rPr>
                <w:lang w:eastAsia="zh-CN"/>
              </w:rPr>
              <w:tab/>
            </w:r>
            <w:r>
              <w:rPr>
                <w:lang w:eastAsia="zh-CN"/>
              </w:rPr>
              <w:t xml:space="preserve">During the period from the last transmission of the RS resource used for the L1-RSRP measurement reporting </w:t>
            </w:r>
            <w:r>
              <w:t>for the target TCI state to the completion of active TCI state switch, where the RS resource for L1-RSRP measurement is the RS in target TCI state or QCLed to the target TCI state</w:t>
            </w:r>
          </w:p>
          <w:p>
            <w:pPr>
              <w:jc w:val="both"/>
              <w:rPr>
                <w:lang w:eastAsia="zh-CN"/>
              </w:rPr>
            </w:pPr>
            <w:r>
              <w:rPr>
                <w:lang w:eastAsia="zh-CN"/>
              </w:rPr>
              <w:t xml:space="preserve">-TCI state switch command is received within 1280 ms upon the last transmission of the RS resource for beam reporting or measurement </w:t>
            </w:r>
          </w:p>
          <w:p>
            <w:pPr>
              <w:jc w:val="both"/>
              <w:rPr>
                <w:lang w:eastAsia="zh-CN"/>
              </w:rPr>
            </w:pPr>
            <w:r>
              <w:rPr>
                <w:lang w:eastAsia="zh-CN"/>
              </w:rPr>
              <w:t>-The UE has sent at least 1 L1-RSRP report for the target TCI state before the TCI state switch command</w:t>
            </w:r>
          </w:p>
          <w:p>
            <w:pPr>
              <w:jc w:val="both"/>
              <w:rPr>
                <w:lang w:eastAsia="zh-CN"/>
              </w:rPr>
            </w:pPr>
            <w:r>
              <w:rPr>
                <w:lang w:eastAsia="zh-CN"/>
              </w:rPr>
              <w:t>-The TCI state remains detectable during the TCI state switching period</w:t>
            </w:r>
          </w:p>
          <w:p>
            <w:pPr>
              <w:jc w:val="both"/>
              <w:rPr>
                <w:lang w:eastAsia="zh-CN"/>
              </w:rPr>
            </w:pPr>
            <w:r>
              <w:rPr>
                <w:lang w:eastAsia="zh-CN"/>
              </w:rPr>
              <w:t>-</w:t>
            </w:r>
            <w:bookmarkStart w:id="4" w:name="_Hlk18067072"/>
            <w:r>
              <w:rPr>
                <w:lang w:eastAsia="zh-CN"/>
              </w:rPr>
              <w:t>The SSB associated with the TCI state remain detectable during the TCI switching period</w:t>
            </w:r>
            <w:bookmarkEnd w:id="4"/>
          </w:p>
          <w:p>
            <w:pPr>
              <w:jc w:val="both"/>
              <w:rPr>
                <w:lang w:eastAsia="zh-CN"/>
              </w:rPr>
            </w:pPr>
            <w:r>
              <w:rPr>
                <w:lang w:eastAsia="zh-CN"/>
              </w:rPr>
              <w:t>-</w:t>
            </w:r>
            <w:r>
              <w:rPr>
                <w:lang w:eastAsia="zh-CN"/>
              </w:rPr>
              <w:tab/>
            </w:r>
            <w:r>
              <w:rPr>
                <w:lang w:eastAsia="zh-CN"/>
              </w:rPr>
              <w:t xml:space="preserve">SNR of the TCI state </w:t>
            </w:r>
            <w:r>
              <w:rPr>
                <w:rFonts w:eastAsia="Calibri"/>
              </w:rPr>
              <w:t>≥</w:t>
            </w:r>
            <w:r>
              <w:rPr>
                <w:lang w:eastAsia="zh-CN"/>
              </w:rPr>
              <w:t xml:space="preserve"> -3dB</w:t>
            </w:r>
          </w:p>
          <w:p>
            <w:pPr>
              <w:numPr>
                <w:ilvl w:val="-1"/>
                <w:numId w:val="0"/>
              </w:numPr>
              <w:spacing w:before="0" w:beforeLines="-2147483648" w:after="0" w:afterLines="-2147483648"/>
              <w:jc w:val="both"/>
              <w:rPr>
                <w:rFonts w:hint="eastAsia"/>
                <w:vertAlign w:val="baseline"/>
                <w:lang w:val="en-US" w:eastAsia="zh-CN"/>
              </w:rPr>
            </w:pPr>
            <w:r>
              <w:rPr>
                <w:rFonts w:eastAsia="Malgun Gothic"/>
                <w:lang w:eastAsia="zh-CN"/>
              </w:rPr>
              <w:t>Otherwise, the TCI state is unknown.</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There are two situation for considering the TCI state activation:</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1: The best predicted Tx beam ID/RSRP belongs to Set B.</w:t>
      </w:r>
    </w:p>
    <w:p>
      <w:pPr>
        <w:numPr>
          <w:ilvl w:val="0"/>
          <w:numId w:val="15"/>
        </w:numPr>
        <w:spacing w:before="161" w:beforeLines="50" w:after="161" w:afterLines="50"/>
        <w:ind w:left="420" w:hanging="420"/>
        <w:jc w:val="both"/>
        <w:rPr>
          <w:rFonts w:hint="eastAsia"/>
          <w:lang w:val="en-US" w:eastAsia="zh-CN"/>
        </w:rPr>
      </w:pPr>
      <w:r>
        <w:rPr>
          <w:rFonts w:hint="eastAsia"/>
          <w:lang w:val="en-US" w:eastAsia="zh-CN"/>
        </w:rPr>
        <w:t>Case 2: The best predicted Tx beam ID/RSRP doesn</w:t>
      </w:r>
      <w:r>
        <w:rPr>
          <w:rFonts w:hint="default"/>
          <w:lang w:val="en-US" w:eastAsia="zh-CN"/>
        </w:rPr>
        <w:t>’</w:t>
      </w:r>
      <w:r>
        <w:rPr>
          <w:rFonts w:hint="eastAsia"/>
          <w:lang w:val="en-US" w:eastAsia="zh-CN"/>
        </w:rPr>
        <w:t>t not belong to Set B.</w:t>
      </w:r>
    </w:p>
    <w:p>
      <w:pPr>
        <w:numPr>
          <w:ilvl w:val="-1"/>
          <w:numId w:val="0"/>
        </w:numPr>
        <w:spacing w:before="161" w:beforeLines="50" w:after="161" w:afterLines="50"/>
        <w:ind w:left="0" w:firstLine="0"/>
        <w:jc w:val="both"/>
        <w:rPr>
          <w:rFonts w:hint="eastAsia"/>
          <w:lang w:eastAsia="zh-CN"/>
        </w:rPr>
      </w:pPr>
      <w:r>
        <w:rPr>
          <w:rFonts w:hint="eastAsia"/>
          <w:lang w:val="en-US" w:eastAsia="zh-CN"/>
        </w:rPr>
        <w:t xml:space="preserve">To my understanding, the known and unknown conditions for Rx beam to UE will have an impact on TCI state switching delay. </w:t>
      </w:r>
      <w:r>
        <w:rPr>
          <w:rFonts w:hint="eastAsia"/>
          <w:lang w:eastAsia="zh-CN"/>
        </w:rPr>
        <w:t>When the UE is aware of the current RX</w:t>
      </w:r>
      <w:r>
        <w:rPr>
          <w:rFonts w:hint="eastAsia"/>
          <w:lang w:val="en-US" w:eastAsia="zh-CN"/>
        </w:rPr>
        <w:t xml:space="preserve"> </w:t>
      </w:r>
      <w:r>
        <w:rPr>
          <w:rFonts w:hint="eastAsia"/>
          <w:lang w:eastAsia="zh-CN"/>
        </w:rPr>
        <w:t>beam it is utilizing, it can more swiftly provide feedback on CSI, particularly when it can promptly report the optimal TCI state when channel conditions change. In this scenario, the n</w:t>
      </w:r>
      <w:r>
        <w:rPr>
          <w:rFonts w:hint="eastAsia"/>
          <w:lang w:val="en-US" w:eastAsia="zh-CN"/>
        </w:rPr>
        <w:t>etwork</w:t>
      </w:r>
      <w:r>
        <w:rPr>
          <w:rFonts w:hint="eastAsia"/>
          <w:lang w:eastAsia="zh-CN"/>
        </w:rPr>
        <w:t xml:space="preserve"> can immediately apply the recommended TCI state for beamforming adjustments, thereby reducing the TCI state activation delay.</w:t>
      </w:r>
      <w:r>
        <w:rPr>
          <w:rFonts w:hint="eastAsia"/>
          <w:lang w:val="en-US" w:eastAsia="zh-CN"/>
        </w:rPr>
        <w:t xml:space="preserve"> </w:t>
      </w:r>
      <w:r>
        <w:rPr>
          <w:rFonts w:hint="eastAsia"/>
          <w:lang w:eastAsia="zh-CN"/>
        </w:rPr>
        <w:t>In contrast, if the UE does not precisely know its RX beam or if the channel state has changed, it may require additional time to measure various beam configurations to determine which TCI state best suits the current conditions. This results in increased TCI state activation latency because the system must wait for the UE to complete measurements and report the optimal selection.</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Thus, we deem that the known condition on TCI state switching delay shall be based on the legacy delay and the measured Rx beam or not. For case 1, the best predicted Tx beam belongs to Set B and UE performs the full Rx beam sweeping for Set B, the TCI state is known. For case 2, the best predicted Tx beam doesn</w:t>
      </w:r>
      <w:r>
        <w:rPr>
          <w:rFonts w:hint="default"/>
          <w:lang w:val="en-US" w:eastAsia="zh-CN"/>
        </w:rPr>
        <w:t>’</w:t>
      </w:r>
      <w:r>
        <w:rPr>
          <w:rFonts w:hint="eastAsia"/>
          <w:lang w:val="en-US" w:eastAsia="zh-CN"/>
        </w:rPr>
        <w:t xml:space="preserve">t belong to Set B and the corresponding Rx beam of the best Tx beam may be unknown to UE, the TCI state is unknown. </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13: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14: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15: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161" w:beforeLines="50" w:after="161" w:afterLines="50"/>
        <w:ind w:left="0" w:firstLine="0"/>
        <w:jc w:val="both"/>
        <w:rPr>
          <w:rFonts w:hint="eastAsia" w:eastAsia="Times New Roman"/>
          <w:b/>
          <w:bCs/>
          <w:lang w:val="en-US" w:eastAsia="zh-CN"/>
        </w:rPr>
      </w:pPr>
      <w:r>
        <w:rPr>
          <w:rFonts w:hint="eastAsia"/>
          <w:b/>
          <w:bCs/>
          <w:lang w:val="en-US" w:eastAsia="zh-CN"/>
        </w:rPr>
        <w:t xml:space="preserve">Proposal 12: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pStyle w:val="3"/>
        <w:rPr>
          <w:rFonts w:hint="default"/>
          <w:sz w:val="24"/>
          <w:szCs w:val="24"/>
          <w:highlight w:val="none"/>
          <w:lang w:val="en-US" w:eastAsia="zh-CN"/>
        </w:rPr>
      </w:pPr>
      <w:r>
        <w:rPr>
          <w:rFonts w:hint="eastAsia"/>
          <w:sz w:val="24"/>
          <w:szCs w:val="24"/>
          <w:highlight w:val="none"/>
          <w:lang w:val="en-US" w:eastAsia="zh-CN"/>
        </w:rPr>
        <w:t>2.4 Test Procedure</w:t>
      </w:r>
    </w:p>
    <w:p>
      <w:pPr>
        <w:spacing w:after="120"/>
        <w:jc w:val="both"/>
        <w:rPr>
          <w:rFonts w:hint="eastAsia" w:eastAsia="宋体"/>
          <w:b w:val="0"/>
          <w:bCs w:val="0"/>
          <w:szCs w:val="20"/>
          <w:lang w:val="en-US" w:eastAsia="zh-CN"/>
        </w:rPr>
      </w:pPr>
      <w:r>
        <w:rPr>
          <w:rFonts w:hint="eastAsia" w:eastAsia="宋体"/>
          <w:b w:val="0"/>
          <w:bCs w:val="0"/>
          <w:szCs w:val="20"/>
          <w:lang w:val="en-US" w:eastAsia="zh-CN"/>
        </w:rPr>
        <w:t>When we study the testability issues, the test procedure shall be clarified and unified firstly. In this section, we would like to state the test procedure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Training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val="0"/>
                <w:bCs w:val="0"/>
                <w:szCs w:val="20"/>
                <w:vertAlign w:val="baseline"/>
                <w:lang w:val="en-US" w:eastAsia="zh-CN"/>
              </w:rPr>
            </w:pPr>
            <w:r>
              <w:rPr>
                <w:rFonts w:hint="eastAsia" w:eastAsia="宋体"/>
                <w:b w:val="0"/>
                <w:bCs w:val="0"/>
                <w:szCs w:val="20"/>
                <w:vertAlign w:val="baseline"/>
                <w:lang w:val="en-US" w:eastAsia="zh-CN"/>
              </w:rPr>
              <w:t>Inference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Groundtruth phase (measurement of RSRP with high SNR)</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val="0"/>
                <w:bCs w:val="0"/>
                <w:szCs w:val="20"/>
                <w:vertAlign w:val="baseline"/>
                <w:lang w:val="en-US" w:eastAsia="zh-CN"/>
              </w:rPr>
            </w:pP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TE evaluation phase</w:t>
            </w:r>
          </w:p>
        </w:tc>
        <w:tc>
          <w:tcPr>
            <w:tcW w:w="4757" w:type="dxa"/>
          </w:tcPr>
          <w:p>
            <w:pPr>
              <w:spacing w:after="120"/>
              <w:jc w:val="both"/>
              <w:rPr>
                <w:rFonts w:hint="eastAsia" w:eastAsia="宋体"/>
                <w:b w:val="0"/>
                <w:bCs w:val="0"/>
                <w:szCs w:val="20"/>
                <w:vertAlign w:val="baseline"/>
                <w:lang w:val="en-US" w:eastAsia="zh-CN"/>
              </w:rPr>
            </w:pPr>
            <w:r>
              <w:rPr>
                <w:rFonts w:hint="eastAsia" w:eastAsia="宋体"/>
                <w:b w:val="0"/>
                <w:bCs w:val="0"/>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pStyle w:val="3"/>
        <w:rPr>
          <w:rFonts w:hint="default"/>
          <w:sz w:val="24"/>
          <w:szCs w:val="24"/>
          <w:highlight w:val="none"/>
          <w:lang w:val="en-US" w:eastAsia="zh-CN"/>
        </w:rPr>
      </w:pPr>
      <w:r>
        <w:rPr>
          <w:rFonts w:hint="eastAsia"/>
          <w:sz w:val="24"/>
          <w:szCs w:val="24"/>
          <w:highlight w:val="none"/>
          <w:lang w:val="en-US" w:eastAsia="zh-CN"/>
        </w:rPr>
        <w:t>2.5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In the last meeting, RAN4 has agreed the simulation assumption for studying the impact of measurement error on beam prediction accuracy. There are two steps for beam simulation:</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Measurement error for different SNR</w:t>
      </w:r>
    </w:p>
    <w:p>
      <w:pPr>
        <w:numPr>
          <w:ilvl w:val="0"/>
          <w:numId w:val="15"/>
        </w:numPr>
        <w:spacing w:before="161" w:beforeLines="50" w:after="161" w:afterLines="50"/>
        <w:ind w:left="420" w:leftChars="0" w:hanging="420" w:firstLineChars="0"/>
        <w:jc w:val="both"/>
        <w:rPr>
          <w:rFonts w:hint="eastAsia"/>
          <w:b w:val="0"/>
          <w:bCs w:val="0"/>
          <w:lang w:val="en-US" w:eastAsia="zh-CN"/>
        </w:rPr>
      </w:pPr>
      <w:r>
        <w:rPr>
          <w:rFonts w:hint="eastAsia"/>
          <w:b w:val="0"/>
          <w:bCs w:val="0"/>
          <w:lang w:val="en-US" w:eastAsia="zh-CN"/>
        </w:rPr>
        <w:t>Prediction accuracy without measurement error and without measurement error</w:t>
      </w:r>
    </w:p>
    <w:p>
      <w:pPr>
        <w:numPr>
          <w:ilvl w:val="-1"/>
          <w:numId w:val="0"/>
        </w:numPr>
        <w:spacing w:before="161" w:beforeLines="50" w:after="161" w:afterLines="50"/>
        <w:ind w:left="0" w:firstLine="0"/>
        <w:jc w:val="both"/>
        <w:rPr>
          <w:rFonts w:hint="eastAsia"/>
          <w:b w:val="0"/>
          <w:bCs w:val="0"/>
          <w:lang w:val="en-US" w:eastAsia="zh-CN"/>
        </w:rPr>
      </w:pPr>
      <w:r>
        <w:rPr>
          <w:rFonts w:hint="eastAsia"/>
          <w:b w:val="0"/>
          <w:bCs w:val="0"/>
          <w:lang w:val="en-US" w:eastAsia="zh-CN"/>
        </w:rPr>
        <w:t>For the first part, the measurement error for different SNR is simulated as below. Here, we only simulate for AWGN channel. For fading channel, the measurement error may be larger. Besides, measurement error is dependent on baseband algorithm.</w:t>
      </w:r>
    </w:p>
    <w:p>
      <w:pPr>
        <w:spacing w:after="120" w:afterLines="50"/>
        <w:jc w:val="center"/>
        <w:rPr>
          <w:rFonts w:hint="default" w:ascii="Times New Roman" w:hAnsi="Times New Roman" w:cs="Times New Roman"/>
          <w:sz w:val="20"/>
          <w:szCs w:val="20"/>
        </w:rPr>
      </w:pPr>
      <w:r>
        <w:rPr>
          <w:rFonts w:hint="default" w:ascii="Times New Roman" w:hAnsi="Times New Roman" w:cs="Times New Roman"/>
          <w:sz w:val="20"/>
          <w:szCs w:val="20"/>
        </w:rPr>
        <w:t>Measurement error for AWGN channel</w:t>
      </w:r>
    </w:p>
    <w:tbl>
      <w:tblPr>
        <w:tblStyle w:val="19"/>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7"/>
        <w:gridCol w:w="1271"/>
        <w:gridCol w:w="1278"/>
        <w:gridCol w:w="1315"/>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93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SNR</w:t>
            </w:r>
          </w:p>
        </w:tc>
        <w:tc>
          <w:tcPr>
            <w:tcW w:w="1271"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c>
          <w:tcPr>
            <w:tcW w:w="1278"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-3dB</w:t>
            </w:r>
          </w:p>
        </w:tc>
        <w:tc>
          <w:tcPr>
            <w:tcW w:w="1315"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0dB</w:t>
            </w:r>
          </w:p>
        </w:tc>
        <w:tc>
          <w:tcPr>
            <w:tcW w:w="1357" w:type="dxa"/>
          </w:tcPr>
          <w:p>
            <w:pP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2937" w:type="dxa"/>
          </w:tcPr>
          <w:p>
            <w:pPr>
              <w:jc w:val="center"/>
              <w:rPr>
                <w:rFonts w:hint="default" w:ascii="Times New Roman" w:hAnsi="Times New Roman" w:cs="Times New Roman" w:eastAsiaTheme="minorEastAsia"/>
                <w:sz w:val="20"/>
                <w:szCs w:val="20"/>
                <w:lang w:val="en-US" w:eastAsia="zh-CN"/>
              </w:rPr>
            </w:pPr>
            <w:r>
              <w:rPr>
                <w:rFonts w:hint="eastAsia" w:eastAsia="宋体" w:cs="Times New Roman"/>
                <w:lang w:val="en-US" w:eastAsia="zh-CN"/>
              </w:rPr>
              <w:t>L1-RSRP measurement error (dB)</w:t>
            </w:r>
          </w:p>
        </w:tc>
        <w:tc>
          <w:tcPr>
            <w:tcW w:w="1271"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1.3</w:t>
            </w:r>
          </w:p>
        </w:tc>
        <w:tc>
          <w:tcPr>
            <w:tcW w:w="1278"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1</w:t>
            </w:r>
          </w:p>
        </w:tc>
        <w:tc>
          <w:tcPr>
            <w:tcW w:w="1315"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0.6</w:t>
            </w:r>
          </w:p>
        </w:tc>
        <w:tc>
          <w:tcPr>
            <w:tcW w:w="1357" w:type="dxa"/>
          </w:tcPr>
          <w:p>
            <w:pPr>
              <w:jc w:val="center"/>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0.3</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Secondly, we would apply the above measurement error to all Tx beams, where measurement error is modeled as Gaussian distribution. The following figure[3] provides us the concrete method to add the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drawing>
          <wp:inline distT="0" distB="0" distL="114300" distR="114300">
            <wp:extent cx="5213350" cy="2381885"/>
            <wp:effectExtent l="0" t="0" r="0" b="10795"/>
            <wp:docPr id="1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descr="IMG_256"/>
                    <pic:cNvPicPr>
                      <a:picLocks noChangeAspect="1"/>
                    </pic:cNvPicPr>
                  </pic:nvPicPr>
                  <pic:blipFill>
                    <a:blip r:embed="rId10"/>
                    <a:stretch>
                      <a:fillRect/>
                    </a:stretch>
                  </pic:blipFill>
                  <pic:spPr>
                    <a:xfrm>
                      <a:off x="0" y="0"/>
                      <a:ext cx="5213350" cy="2381885"/>
                    </a:xfrm>
                    <a:prstGeom prst="rect">
                      <a:avLst/>
                    </a:prstGeom>
                    <a:no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center"/>
        <w:textAlignment w:val="auto"/>
        <w:rPr>
          <w:rFonts w:hint="default" w:ascii="Times New Roman" w:hAnsi="Times New Roman" w:eastAsia="宋体" w:cs="Times New Roman"/>
          <w:kern w:val="0"/>
          <w:sz w:val="22"/>
          <w:szCs w:val="22"/>
          <w:lang w:val="en-US" w:eastAsia="zh-CN" w:bidi="ar"/>
        </w:rPr>
      </w:pPr>
      <w:r>
        <w:rPr>
          <w:rFonts w:hint="eastAsia" w:eastAsia="宋体" w:cs="Times New Roman"/>
          <w:kern w:val="0"/>
          <w:sz w:val="22"/>
          <w:szCs w:val="22"/>
          <w:lang w:val="en-US" w:eastAsia="zh-CN" w:bidi="ar"/>
        </w:rPr>
        <w:t xml:space="preserve">Figure 6 Add measurement error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We main provide the performance metrics Top-1 and Top-K/1 with ME and without ME as below:</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Measurement error (dB)</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No error</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85.48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0.3</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0.6</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74.04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1</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68.08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1.3</w:t>
            </w:r>
          </w:p>
        </w:tc>
        <w:tc>
          <w:tcPr>
            <w:tcW w:w="4757" w:type="dxa"/>
          </w:tcPr>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jc w:val="both"/>
              <w:textAlignment w:val="auto"/>
              <w:rPr>
                <w:rFonts w:hint="default" w:eastAsia="宋体"/>
                <w:b w:val="0"/>
                <w:bCs w:val="0"/>
                <w:szCs w:val="20"/>
                <w:vertAlign w:val="baseline"/>
                <w:lang w:val="en-US" w:eastAsia="zh-CN"/>
              </w:rPr>
            </w:pPr>
            <w:r>
              <w:rPr>
                <w:rFonts w:hint="eastAsia" w:eastAsia="宋体"/>
                <w:b w:val="0"/>
                <w:bCs w:val="0"/>
                <w:szCs w:val="20"/>
                <w:vertAlign w:val="baseline"/>
                <w:lang w:val="en-US" w:eastAsia="zh-CN"/>
              </w:rPr>
              <w:t>65.10</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i/>
          <w:iCs/>
          <w:szCs w:val="20"/>
          <w:u w:val="single"/>
          <w:lang w:val="en-US" w:eastAsia="zh-CN"/>
        </w:rPr>
      </w:pPr>
      <w:r>
        <w:rPr>
          <w:rFonts w:hint="eastAsia" w:eastAsia="宋体"/>
          <w:b/>
          <w:bCs/>
          <w:i/>
          <w:iCs/>
          <w:szCs w:val="20"/>
          <w:u w:val="single"/>
          <w:lang w:val="en-US" w:eastAsia="zh-CN"/>
        </w:rPr>
        <w:t>Top-K/1:</w:t>
      </w:r>
    </w:p>
    <w:tbl>
      <w:tblPr>
        <w:tblStyle w:val="19"/>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2727"/>
        <w:gridCol w:w="1657"/>
        <w:gridCol w:w="1574"/>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861" w:type="dxa"/>
          </w:tcPr>
          <w:p>
            <w:pPr>
              <w:rPr>
                <w:rFonts w:hint="default" w:ascii="Times New Roman" w:hAnsi="Times New Roman" w:cs="Times New Roman"/>
                <w:sz w:val="21"/>
                <w:szCs w:val="21"/>
              </w:rPr>
            </w:pPr>
            <w:r>
              <w:rPr>
                <w:rFonts w:hint="default" w:ascii="Times New Roman" w:hAnsi="Times New Roman" w:cs="Times New Roman"/>
                <w:sz w:val="21"/>
                <w:szCs w:val="21"/>
              </w:rPr>
              <w:t>Measurement error (dB)</w:t>
            </w:r>
          </w:p>
        </w:tc>
        <w:tc>
          <w:tcPr>
            <w:tcW w:w="7658" w:type="dxa"/>
            <w:gridSpan w:val="4"/>
          </w:tcPr>
          <w:p>
            <w:pPr>
              <w:jc w:val="center"/>
              <w:rPr>
                <w:rFonts w:hint="default" w:ascii="Times New Roman" w:hAnsi="Times New Roman" w:cs="Times New Roman"/>
                <w:sz w:val="21"/>
                <w:szCs w:val="21"/>
              </w:rPr>
            </w:pPr>
            <w:r>
              <w:rPr>
                <w:rFonts w:hint="default" w:ascii="Times New Roman" w:hAnsi="Times New Roman" w:cs="Times New Roman"/>
                <w:sz w:val="21"/>
                <w:szCs w:val="21"/>
              </w:rPr>
              <w:t>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rPr>
                <w:rFonts w:hint="default" w:ascii="Times New Roman" w:hAnsi="Times New Roman" w:cs="Times New Roman"/>
                <w:sz w:val="21"/>
                <w:szCs w:val="21"/>
              </w:rPr>
            </w:pPr>
          </w:p>
        </w:tc>
        <w:tc>
          <w:tcPr>
            <w:tcW w:w="2727" w:type="dxa"/>
          </w:tcPr>
          <w:p>
            <w:pPr>
              <w:jc w:val="center"/>
              <w:rPr>
                <w:rFonts w:hint="default" w:ascii="Times New Roman" w:hAnsi="Times New Roman" w:cs="Times New Roman"/>
                <w:sz w:val="21"/>
                <w:szCs w:val="21"/>
              </w:rPr>
            </w:pPr>
            <w:r>
              <w:rPr>
                <w:rFonts w:hint="default" w:ascii="Times New Roman" w:hAnsi="Times New Roman" w:cs="Times New Roman"/>
                <w:sz w:val="21"/>
                <w:szCs w:val="21"/>
              </w:rPr>
              <w:t>K=2</w:t>
            </w:r>
          </w:p>
          <w:p>
            <w:pPr>
              <w:jc w:val="center"/>
              <w:rPr>
                <w:rFonts w:hint="default" w:ascii="Times New Roman" w:hAnsi="Times New Roman" w:cs="Times New Roman"/>
                <w:sz w:val="21"/>
                <w:szCs w:val="21"/>
                <w:lang w:val="en-US" w:eastAsia="zh-CN"/>
              </w:rPr>
            </w:pPr>
          </w:p>
        </w:tc>
        <w:tc>
          <w:tcPr>
            <w:tcW w:w="1657"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K=3</w:t>
            </w:r>
          </w:p>
        </w:tc>
        <w:tc>
          <w:tcPr>
            <w:tcW w:w="1574" w:type="dxa"/>
            <w:vAlign w:val="top"/>
          </w:tcPr>
          <w:p>
            <w:pPr>
              <w:jc w:val="center"/>
              <w:rPr>
                <w:rFonts w:hint="default" w:ascii="Times New Roman" w:hAnsi="Times New Roman" w:cs="Times New Roman"/>
                <w:sz w:val="21"/>
                <w:szCs w:val="21"/>
              </w:rPr>
            </w:pPr>
            <w:r>
              <w:rPr>
                <w:rFonts w:hint="default" w:ascii="Times New Roman" w:hAnsi="Times New Roman" w:cs="Times New Roman"/>
                <w:sz w:val="21"/>
                <w:szCs w:val="21"/>
              </w:rPr>
              <w:t>K=4</w:t>
            </w:r>
          </w:p>
        </w:tc>
        <w:tc>
          <w:tcPr>
            <w:tcW w:w="1700" w:type="dxa"/>
          </w:tcPr>
          <w:p>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K=5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No error</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94.02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96.96</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98.20</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0.3</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92.18</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97.14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0.6</w:t>
            </w:r>
          </w:p>
        </w:tc>
        <w:tc>
          <w:tcPr>
            <w:tcW w:w="2727"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90.10</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94.50</w:t>
            </w:r>
          </w:p>
        </w:tc>
        <w:tc>
          <w:tcPr>
            <w:tcW w:w="1574" w:type="dxa"/>
            <w:vAlign w:val="center"/>
          </w:tcPr>
          <w:p>
            <w:pPr>
              <w:jc w:val="center"/>
              <w:rPr>
                <w:rFonts w:hint="default" w:ascii="Times New Roman" w:hAnsi="Times New Roman" w:eastAsia="等线" w:cs="Times New Roman"/>
                <w:color w:val="000000"/>
                <w:sz w:val="22"/>
                <w:szCs w:val="22"/>
                <w:highlight w:val="none"/>
                <w:lang w:val="en-US" w:eastAsia="zh-CN"/>
              </w:rPr>
            </w:pPr>
            <w:r>
              <w:rPr>
                <w:rFonts w:hint="eastAsia" w:eastAsia="等线" w:cs="Times New Roman"/>
                <w:color w:val="000000"/>
                <w:sz w:val="22"/>
                <w:szCs w:val="22"/>
                <w:highlight w:val="none"/>
                <w:lang w:val="en-US" w:eastAsia="zh-CN"/>
              </w:rPr>
              <w:t>96.76</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1</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87.34</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92.98</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95.58</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861" w:type="dxa"/>
          </w:tcPr>
          <w:p>
            <w:pPr>
              <w:jc w:val="center"/>
              <w:rPr>
                <w:rFonts w:hint="default" w:cs="Times New Roman"/>
                <w:sz w:val="21"/>
                <w:szCs w:val="21"/>
                <w:highlight w:val="none"/>
                <w:lang w:val="en-US" w:eastAsia="zh-CN"/>
              </w:rPr>
            </w:pPr>
            <w:r>
              <w:rPr>
                <w:rFonts w:hint="eastAsia" w:cs="Times New Roman"/>
                <w:sz w:val="21"/>
                <w:szCs w:val="21"/>
                <w:highlight w:val="none"/>
                <w:lang w:val="en-US" w:eastAsia="zh-CN"/>
              </w:rPr>
              <w:t>1.3</w:t>
            </w:r>
          </w:p>
        </w:tc>
        <w:tc>
          <w:tcPr>
            <w:tcW w:w="272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85.42</w:t>
            </w:r>
          </w:p>
        </w:tc>
        <w:tc>
          <w:tcPr>
            <w:tcW w:w="1657"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91.96</w:t>
            </w:r>
          </w:p>
        </w:tc>
        <w:tc>
          <w:tcPr>
            <w:tcW w:w="1574"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95.04</w:t>
            </w:r>
          </w:p>
        </w:tc>
        <w:tc>
          <w:tcPr>
            <w:tcW w:w="1700" w:type="dxa"/>
            <w:vAlign w:val="center"/>
          </w:tcPr>
          <w:p>
            <w:pPr>
              <w:jc w:val="center"/>
              <w:rPr>
                <w:rFonts w:hint="default" w:ascii="Times New Roman" w:hAnsi="Times New Roman" w:cs="Times New Roman"/>
                <w:sz w:val="21"/>
                <w:szCs w:val="21"/>
                <w:highlight w:val="none"/>
                <w:lang w:val="en-US" w:eastAsia="zh-CN"/>
              </w:rPr>
            </w:pPr>
            <w:r>
              <w:rPr>
                <w:rFonts w:hint="eastAsia" w:cs="Times New Roman"/>
                <w:sz w:val="21"/>
                <w:szCs w:val="21"/>
                <w:highlight w:val="none"/>
                <w:lang w:val="en-US" w:eastAsia="zh-CN"/>
              </w:rPr>
              <w:t>96.62</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val="0"/>
          <w:bCs w:val="0"/>
          <w:szCs w:val="20"/>
          <w:lang w:val="en-US" w:eastAsia="zh-CN"/>
        </w:rPr>
      </w:pPr>
      <w:r>
        <w:rPr>
          <w:rFonts w:hint="eastAsia" w:eastAsia="宋体"/>
          <w:b w:val="0"/>
          <w:bCs w:val="0"/>
          <w:szCs w:val="20"/>
          <w:lang w:val="en-US" w:eastAsia="zh-CN"/>
        </w:rPr>
        <w:t xml:space="preserve">Based on the above prediction accuracy results on Top-1 and Top-K/1, we find that there will be performance degradation due to measurement error. For Top-1, the prediction accuracy is below 86% even if there is no error on test data. When measurement error is 1.3dB, the prediction accuracy of Top-1 is 65.10% which has severe degradation. Thus, this metric could not be considered. On the contrary, for the metric Top-K/1 when K&gt;1, the prediction is getting larger and larger when K is larger and larger whatever the measurement error is added or not. To my understanding, this metric shall be considered as baseline based on simulation results. </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19: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5: The relative RSRP accuracy could remove the bias and choose the optimal reported beam.</w:t>
      </w:r>
    </w:p>
    <w:p>
      <w:pPr>
        <w:numPr>
          <w:ilvl w:val="-1"/>
          <w:numId w:val="0"/>
        </w:numPr>
        <w:spacing w:before="161" w:beforeLines="50" w:after="161" w:afterLines="50"/>
        <w:jc w:val="both"/>
        <w:rPr>
          <w:rFonts w:hint="eastAsia"/>
          <w:lang w:val="en-US" w:eastAsia="zh-CN"/>
        </w:rPr>
      </w:pPr>
      <w:r>
        <w:rPr>
          <w:rFonts w:hint="eastAsia"/>
          <w:b/>
          <w:bCs/>
          <w:lang w:val="en-US" w:eastAsia="zh-CN"/>
        </w:rPr>
        <w:t>Proposal 3: The relative RSRP accuracy shall be considered for RSRP accuracy</w:t>
      </w:r>
      <w:r>
        <w:rPr>
          <w:rFonts w:hint="eastAsia"/>
          <w:lang w:val="en-US" w:eastAsia="zh-CN"/>
        </w:rPr>
        <w:t>.</w:t>
      </w:r>
    </w:p>
    <w:p>
      <w:pPr>
        <w:numPr>
          <w:ilvl w:val="-1"/>
          <w:numId w:val="0"/>
        </w:numPr>
        <w:spacing w:before="161" w:beforeLines="50" w:after="161" w:afterLines="50"/>
        <w:jc w:val="both"/>
        <w:rPr>
          <w:rFonts w:hint="eastAsia"/>
          <w:b/>
          <w:bCs/>
          <w:i w:val="0"/>
          <w:iCs w:val="0"/>
          <w:lang w:val="en-US" w:eastAsia="zh-CN"/>
        </w:rPr>
      </w:pPr>
      <w:r>
        <w:rPr>
          <w:rFonts w:hint="eastAsia"/>
          <w:b/>
          <w:bCs/>
          <w:i w:val="0"/>
          <w:iCs w:val="0"/>
          <w:lang w:val="en-US" w:eastAsia="zh-CN"/>
        </w:rPr>
        <w:t>Observation 6: For AI beam management, only serving cell downlink Tx beam prediction is in the scope.</w:t>
      </w:r>
    </w:p>
    <w:p>
      <w:pPr>
        <w:numPr>
          <w:ilvl w:val="-1"/>
          <w:numId w:val="0"/>
        </w:numPr>
        <w:spacing w:before="161" w:beforeLines="50" w:after="161" w:afterLines="50"/>
        <w:jc w:val="both"/>
        <w:rPr>
          <w:rFonts w:hint="default"/>
          <w:b/>
          <w:bCs/>
          <w:i w:val="0"/>
          <w:iCs w:val="0"/>
          <w:lang w:val="en-US" w:eastAsia="zh-CN"/>
        </w:rPr>
      </w:pPr>
      <w:r>
        <w:rPr>
          <w:rFonts w:hint="eastAsia"/>
          <w:b/>
          <w:bCs/>
          <w:i w:val="0"/>
          <w:iCs w:val="0"/>
          <w:lang w:val="en-US" w:eastAsia="zh-CN"/>
        </w:rPr>
        <w:t>Observation 7: The groundtruth beams are based on the UE measurement which is more reliable than predicted beams.</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Observation 8: The largest ground truth shall be as the benchmark for definition of relative RSRP accuracy.</w:t>
      </w:r>
    </w:p>
    <w:p>
      <w:pPr>
        <w:numPr>
          <w:ilvl w:val="-1"/>
          <w:numId w:val="0"/>
        </w:numPr>
        <w:spacing w:before="161" w:beforeLines="50" w:after="161" w:afterLines="50"/>
        <w:jc w:val="left"/>
        <w:rPr>
          <w:rFonts w:hint="eastAsia"/>
          <w:b/>
          <w:bCs/>
          <w:i w:val="0"/>
          <w:iCs w:val="0"/>
          <w:lang w:val="en-US" w:eastAsia="zh-CN"/>
        </w:rPr>
      </w:pPr>
      <w:r>
        <w:rPr>
          <w:rFonts w:hint="eastAsia"/>
          <w:b/>
          <w:bCs/>
          <w:i w:val="0"/>
          <w:iCs w:val="0"/>
          <w:lang w:val="en-US" w:eastAsia="zh-CN"/>
        </w:rPr>
        <w:t>Proposal 4: The formula of relative RSRP accuracy could be:</w:t>
      </w:r>
    </w:p>
    <w:p>
      <w:pPr>
        <w:numPr>
          <w:ilvl w:val="-1"/>
          <w:numId w:val="0"/>
        </w:numPr>
        <w:jc w:val="center"/>
        <w:rPr>
          <w:rFonts w:hint="eastAsia"/>
          <w:b/>
          <w:bCs/>
          <w:i/>
          <w:iCs/>
          <w:lang w:val="en-US" w:eastAsia="zh-CN"/>
        </w:rPr>
      </w:pPr>
      <w:r>
        <w:rPr>
          <w:rFonts w:hint="eastAsia"/>
          <w:b/>
          <w:bCs/>
          <w:i w:val="0"/>
          <w:iCs w:val="0"/>
          <w:lang w:val="en-US" w:eastAsia="zh-CN"/>
        </w:rPr>
        <w:t xml:space="preserve"> </w:t>
      </w:r>
      <w:r>
        <w:rPr>
          <w:rFonts w:hint="eastAsia"/>
          <w:b/>
          <w:bCs/>
          <w:i/>
          <w:iCs/>
          <w:lang w:val="en-US" w:eastAsia="zh-CN"/>
        </w:rPr>
        <w:t>Relative RSRP accuracy=predicted L1-RSRP of beam index i - ground truth of the beam index n ,</w:t>
      </w:r>
    </w:p>
    <w:p>
      <w:pPr>
        <w:numPr>
          <w:ilvl w:val="-1"/>
          <w:numId w:val="0"/>
        </w:numPr>
        <w:jc w:val="center"/>
        <w:rPr>
          <w:rFonts w:hint="eastAsia"/>
          <w:b/>
          <w:bCs/>
          <w:i/>
          <w:iCs/>
          <w:lang w:val="en-US" w:eastAsia="zh-CN"/>
        </w:rPr>
      </w:pPr>
      <w:r>
        <w:rPr>
          <w:rFonts w:hint="eastAsia"/>
          <w:b/>
          <w:bCs/>
          <w:i/>
          <w:iCs/>
          <w:lang w:val="en-US" w:eastAsia="zh-CN"/>
        </w:rPr>
        <w:t>where the beam index n owns the largest value</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9: For Top-1(%), the test may be failed because of smallest prediction errors.</w:t>
      </w:r>
    </w:p>
    <w:p>
      <w:pPr>
        <w:numPr>
          <w:ilvl w:val="-1"/>
          <w:numId w:val="0"/>
        </w:numPr>
        <w:spacing w:before="161" w:beforeLines="50" w:after="161" w:afterLines="50"/>
        <w:jc w:val="both"/>
        <w:rPr>
          <w:rFonts w:hint="eastAsia"/>
          <w:b/>
          <w:bCs/>
          <w:lang w:val="en-US" w:eastAsia="zh-CN"/>
        </w:rPr>
      </w:pPr>
      <w:r>
        <w:rPr>
          <w:rFonts w:hint="eastAsia"/>
          <w:b/>
          <w:bCs/>
          <w:lang w:val="en-US" w:eastAsia="zh-CN"/>
        </w:rPr>
        <w:t>Observation 10: For Top-K/1(%), this metric will cause the mistake because of the small difference value between the best and the second ground truth beams. If the number of K is larger and larger, the probability of the best ground truth beam is in top-K predicted beams is larger and larger.</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Observation 11: For Top-1/K(%), this metric only consider the predicted best beam, but the other predicted beams are not guaranteed, the whole system may be degraded.</w:t>
      </w:r>
    </w:p>
    <w:p>
      <w:pPr>
        <w:numPr>
          <w:ilvl w:val="-1"/>
          <w:numId w:val="0"/>
        </w:numPr>
        <w:spacing w:before="0" w:beforeLines="0" w:after="161" w:afterLines="50"/>
        <w:jc w:val="both"/>
        <w:rPr>
          <w:rFonts w:hint="eastAsia"/>
          <w:b/>
          <w:bCs/>
          <w:lang w:val="en-US" w:eastAsia="zh-CN"/>
        </w:rPr>
      </w:pPr>
      <w:r>
        <w:rPr>
          <w:rFonts w:hint="eastAsia"/>
          <w:b/>
          <w:bCs/>
          <w:lang w:val="en-US" w:eastAsia="zh-CN"/>
        </w:rPr>
        <w:t xml:space="preserve">Proposal 5: For beam prediction accuracy, Top-1(%) and Top-1/K(%) shall be set as low priority. </w:t>
      </w:r>
    </w:p>
    <w:p>
      <w:pPr>
        <w:numPr>
          <w:ilvl w:val="-1"/>
          <w:numId w:val="0"/>
        </w:numPr>
        <w:spacing w:before="0" w:beforeLines="0" w:after="161" w:afterLines="50"/>
        <w:jc w:val="both"/>
        <w:rPr>
          <w:rFonts w:hint="eastAsia"/>
          <w:b/>
          <w:bCs/>
          <w:lang w:val="en-US" w:eastAsia="zh-CN"/>
        </w:rPr>
      </w:pPr>
      <w:r>
        <w:rPr>
          <w:rFonts w:hint="eastAsia"/>
          <w:b/>
          <w:bCs/>
          <w:lang w:val="en-US" w:eastAsia="zh-CN"/>
        </w:rPr>
        <w:t>Proposal 6: For Top-K/1(%), the K shall be relaxed to K≥3.</w:t>
      </w:r>
    </w:p>
    <w:p>
      <w:r>
        <w:rPr>
          <w:rFonts w:hint="eastAsia"/>
          <w:b/>
          <w:bCs/>
          <w:lang w:val="en-US" w:eastAsia="zh-CN"/>
        </w:rPr>
        <w:t>Proposal 7: The Top-K/1(%) could be used together with the RSRP accuracy to verify the performance of AI system.</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12: Option 3 only considers the predicted best beam, but the other predicted beams are not guaranteed. Although the main purpose for AI/ML beam is to select the best beam, the whole system may not work in the field and the whole system will not be ensured.</w:t>
      </w:r>
    </w:p>
    <w:p>
      <w:r>
        <w:rPr>
          <w:rFonts w:hint="eastAsia"/>
          <w:b/>
          <w:bCs/>
          <w:lang w:val="en-US" w:eastAsia="zh-CN"/>
        </w:rPr>
        <w:t>Proposal 8: At least the option 3 could not be precluded which could be set as low priority.</w:t>
      </w:r>
    </w:p>
    <w:p>
      <w:pPr>
        <w:numPr>
          <w:ilvl w:val="-1"/>
          <w:numId w:val="0"/>
        </w:numPr>
        <w:ind w:left="0" w:firstLine="0"/>
        <w:jc w:val="both"/>
        <w:rPr>
          <w:rFonts w:hint="eastAsia"/>
          <w:b/>
          <w:bCs/>
          <w:lang w:val="en-US" w:eastAsia="zh-CN"/>
        </w:rPr>
      </w:pPr>
      <w:r>
        <w:rPr>
          <w:rFonts w:hint="eastAsia"/>
          <w:b/>
          <w:bCs/>
          <w:lang w:val="en-US" w:eastAsia="zh-CN"/>
        </w:rPr>
        <w:t>Proposal 9: The potential components in prediction delay contains three parts:</w:t>
      </w:r>
    </w:p>
    <w:p>
      <w:pPr>
        <w:numPr>
          <w:ilvl w:val="0"/>
          <w:numId w:val="13"/>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3"/>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3"/>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r>
        <w:rPr>
          <w:rFonts w:hint="eastAsia"/>
          <w:b/>
          <w:bCs/>
          <w:lang w:val="en-US" w:eastAsia="zh-CN"/>
        </w:rPr>
        <w:t>.</w:t>
      </w:r>
    </w:p>
    <w:p>
      <w:pPr>
        <w:numPr>
          <w:ilvl w:val="-1"/>
          <w:numId w:val="0"/>
        </w:numPr>
        <w:spacing w:before="161" w:beforeLines="50" w:after="161" w:afterLines="50"/>
        <w:ind w:left="0" w:firstLine="0"/>
        <w:jc w:val="both"/>
        <w:rPr>
          <w:rFonts w:hint="eastAsia"/>
          <w:lang w:val="en-US" w:eastAsia="zh-CN"/>
        </w:rPr>
      </w:pPr>
      <w:r>
        <w:rPr>
          <w:rFonts w:hint="eastAsia"/>
          <w:b/>
          <w:bCs/>
          <w:lang w:val="en-US" w:eastAsia="zh-CN"/>
        </w:rPr>
        <w:t>Proposal 10: The legacy L1-RSRP measurement period shall be as baseline or starting point.</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11: Postpone discussion on reporting requirements until other WGs reach the conclusion on reporting mechanism.</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13: Different TCI state conditions mean the different TCI state switching delay.</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 xml:space="preserve">Observation 14: </w:t>
      </w:r>
      <w:r>
        <w:rPr>
          <w:rFonts w:hint="eastAsia"/>
          <w:b/>
          <w:bCs/>
          <w:lang w:eastAsia="zh-CN"/>
        </w:rPr>
        <w:t>When the UE is aware of the current RX</w:t>
      </w:r>
      <w:r>
        <w:rPr>
          <w:rFonts w:hint="eastAsia"/>
          <w:b/>
          <w:bCs/>
          <w:lang w:val="en-US" w:eastAsia="zh-CN"/>
        </w:rPr>
        <w:t xml:space="preserve"> </w:t>
      </w:r>
      <w:r>
        <w:rPr>
          <w:rFonts w:hint="eastAsia"/>
          <w:b/>
          <w:bCs/>
          <w:lang w:eastAsia="zh-CN"/>
        </w:rPr>
        <w:t>beam it is utilizing</w:t>
      </w:r>
      <w:r>
        <w:rPr>
          <w:rFonts w:hint="eastAsia"/>
          <w:b/>
          <w:bCs/>
          <w:lang w:val="en-US" w:eastAsia="zh-CN"/>
        </w:rPr>
        <w:t>, TCI state activation delay is reduced. Otherwise, TCI state activation delay is not reduced.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Observation 15: There are two situation for considering the TCI state activation:</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1: The best predicted Tx beam ID/RSRP belongs to Set B.</w:t>
      </w:r>
    </w:p>
    <w:p>
      <w:pPr>
        <w:numPr>
          <w:ilvl w:val="0"/>
          <w:numId w:val="15"/>
        </w:numPr>
        <w:spacing w:before="161" w:beforeLines="50" w:after="161" w:afterLines="50"/>
        <w:ind w:left="420" w:hanging="420"/>
        <w:jc w:val="both"/>
        <w:rPr>
          <w:rFonts w:hint="eastAsia"/>
          <w:b/>
          <w:bCs/>
          <w:lang w:val="en-US" w:eastAsia="zh-CN"/>
        </w:rPr>
      </w:pPr>
      <w:r>
        <w:rPr>
          <w:rFonts w:hint="eastAsia"/>
          <w:b/>
          <w:bCs/>
          <w:lang w:val="en-US" w:eastAsia="zh-CN"/>
        </w:rPr>
        <w:t>Case 2: The best predicted Tx beam ID/RSRP doesn’t not belong to Set B.</w:t>
      </w:r>
    </w:p>
    <w:p>
      <w:pPr>
        <w:numPr>
          <w:ilvl w:val="-1"/>
          <w:numId w:val="0"/>
        </w:numPr>
        <w:spacing w:before="0" w:beforeLines="-2147483648" w:after="0" w:afterLines="-2147483648"/>
        <w:ind w:left="0" w:firstLine="0"/>
        <w:jc w:val="left"/>
        <w:rPr>
          <w:rFonts w:hint="eastAsia" w:eastAsia="Times New Roman"/>
          <w:b/>
          <w:bCs/>
          <w:lang w:val="en-US" w:eastAsia="zh-CN"/>
        </w:rPr>
      </w:pPr>
      <w:r>
        <w:rPr>
          <w:rFonts w:hint="eastAsia"/>
          <w:b/>
          <w:bCs/>
          <w:lang w:val="en-US" w:eastAsia="zh-CN"/>
        </w:rPr>
        <w:t xml:space="preserve">Proposal 12: UE knows the Rx beam or the RS is in the Set B and the RS is also </w:t>
      </w:r>
      <w:r>
        <w:rPr>
          <w:rFonts w:hint="eastAsia" w:eastAsia="Times New Roman"/>
          <w:b/>
          <w:bCs/>
          <w:lang w:val="en-US" w:eastAsia="zh-CN"/>
        </w:rPr>
        <w:t>the L1-RSRP report by UE within 1280ms before TCI state activation, the TCI state is known. Otherwise, the TCI state is unknown.</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13: The test procedure shall be clarified and unified firstly: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7"/>
        <w:gridCol w:w="4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Training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1.TE configure resource sets for measurement of Set B and beam report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2.UE measures Set B as the model 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restart"/>
          </w:tcPr>
          <w:p>
            <w:pPr>
              <w:spacing w:after="120"/>
              <w:jc w:val="both"/>
              <w:rPr>
                <w:rFonts w:hint="default" w:eastAsia="宋体"/>
                <w:b/>
                <w:bCs/>
                <w:szCs w:val="20"/>
                <w:vertAlign w:val="baseline"/>
                <w:lang w:val="en-US" w:eastAsia="zh-CN"/>
              </w:rPr>
            </w:pPr>
            <w:r>
              <w:rPr>
                <w:rFonts w:hint="eastAsia" w:eastAsia="宋体"/>
                <w:b/>
                <w:bCs/>
                <w:szCs w:val="20"/>
                <w:vertAlign w:val="baseline"/>
                <w:lang w:val="en-US" w:eastAsia="zh-CN"/>
              </w:rPr>
              <w:t>Inference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3.Generates the test setup environment for Set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4.UE predicts best Tx beam/ L1-RSRP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5.UE reports predicted best Tx beam/ L1-RSRP to TE in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restart"/>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Groundtruth phase (measurement of RSRP with high SNR)</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6.TE configures resource sets for measurement of Set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b/>
                <w:bCs/>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7.Generates the test setup environment for Set A (including high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8.UE measures Set A under high SNR condition as ground truth.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757" w:type="dxa"/>
            <w:vMerge w:val="continue"/>
          </w:tcPr>
          <w:p>
            <w:pPr>
              <w:spacing w:after="120"/>
              <w:jc w:val="both"/>
              <w:rPr>
                <w:rFonts w:hint="eastAsia" w:eastAsia="宋体"/>
                <w:b/>
                <w:bCs/>
                <w:szCs w:val="20"/>
                <w:vertAlign w:val="baseline"/>
                <w:lang w:val="en-US" w:eastAsia="zh-CN"/>
              </w:rPr>
            </w:pP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9.UE reports groundtruth (measurement on Set A) to 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TE evaluation phase</w:t>
            </w:r>
          </w:p>
        </w:tc>
        <w:tc>
          <w:tcPr>
            <w:tcW w:w="4757" w:type="dxa"/>
          </w:tcPr>
          <w:p>
            <w:pPr>
              <w:spacing w:after="120"/>
              <w:jc w:val="both"/>
              <w:rPr>
                <w:rFonts w:hint="eastAsia" w:eastAsia="宋体"/>
                <w:b/>
                <w:bCs/>
                <w:szCs w:val="20"/>
                <w:vertAlign w:val="baseline"/>
                <w:lang w:val="en-US" w:eastAsia="zh-CN"/>
              </w:rPr>
            </w:pPr>
            <w:r>
              <w:rPr>
                <w:rFonts w:hint="eastAsia" w:eastAsia="宋体"/>
                <w:b/>
                <w:bCs/>
                <w:szCs w:val="20"/>
                <w:vertAlign w:val="baseline"/>
                <w:lang w:val="en-US" w:eastAsia="zh-CN"/>
              </w:rPr>
              <w:t>10.Evaluates the predicted results and groundtruth and judge the performance degradation</w:t>
            </w:r>
          </w:p>
        </w:tc>
      </w:tr>
    </w:tbl>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16: The smaller SNR conditions, the larger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17: The performance degradation will be occurred due to added measurement error.</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18: For Top-1, the prediction accuracy is below 86% even if there is no error on test data.</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Observation 19: The prediction is getting larger and larger when K is larger and larger whatever the measurement error is added or not.</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eastAsia" w:eastAsia="宋体"/>
          <w:b/>
          <w:bCs/>
          <w:szCs w:val="20"/>
          <w:lang w:val="en-US" w:eastAsia="zh-CN"/>
        </w:rPr>
      </w:pPr>
      <w:r>
        <w:rPr>
          <w:rFonts w:hint="eastAsia" w:eastAsia="宋体"/>
          <w:b/>
          <w:bCs/>
          <w:szCs w:val="20"/>
          <w:lang w:val="en-US" w:eastAsia="zh-CN"/>
        </w:rPr>
        <w:t>Proposal 14: RAN4 shall further study the measurement error impact on different performance metrics if new metrics are introduced.</w:t>
      </w:r>
    </w:p>
    <w:p>
      <w:pPr>
        <w:keepNext w:val="0"/>
        <w:keepLines w:val="0"/>
        <w:pageBreakBefore w:val="0"/>
        <w:widowControl/>
        <w:numPr>
          <w:ilvl w:val="0"/>
          <w:numId w:val="0"/>
        </w:numPr>
        <w:kinsoku/>
        <w:wordWrap/>
        <w:overflowPunct/>
        <w:topLinePunct w:val="0"/>
        <w:autoSpaceDE/>
        <w:autoSpaceDN/>
        <w:bidi w:val="0"/>
        <w:adjustRightInd/>
        <w:snapToGrid/>
        <w:spacing w:before="161" w:beforeLines="50" w:after="120"/>
        <w:ind w:leftChars="0"/>
        <w:jc w:val="both"/>
        <w:textAlignment w:val="auto"/>
        <w:rPr>
          <w:rFonts w:hint="default" w:eastAsia="宋体"/>
          <w:b/>
          <w:bCs/>
          <w:szCs w:val="20"/>
          <w:lang w:val="en-US" w:eastAsia="zh-CN"/>
        </w:rPr>
      </w:pPr>
      <w:r>
        <w:rPr>
          <w:rFonts w:hint="eastAsia" w:eastAsia="宋体"/>
          <w:b/>
          <w:bCs/>
          <w:szCs w:val="20"/>
          <w:lang w:val="en-US" w:eastAsia="zh-CN"/>
        </w:rPr>
        <w:t>Proposal 15: Except measurement error impact, RF error influence shall also be considered in RAN4.</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16"/>
        </w:numPr>
        <w:ind w:firstLine="0"/>
        <w:rPr>
          <w:lang w:val="en-US"/>
        </w:rPr>
      </w:pPr>
      <w:bookmarkStart w:id="5" w:name="_Ref101451885"/>
      <w:r>
        <w:rPr>
          <w:rFonts w:hint="eastAsia"/>
          <w:lang w:val="en-US"/>
        </w:rPr>
        <w:t>RP-213599, “New SI: Study on Artificial Intelligence (AI)/Machine Learning (ML) for NR Air Interface”, 3GPP RAN Plenary</w:t>
      </w:r>
      <w:bookmarkEnd w:id="5"/>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16"/>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游明朝">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6AFCC45"/>
    <w:multiLevelType w:val="singleLevel"/>
    <w:tmpl w:val="86AFCC45"/>
    <w:lvl w:ilvl="0" w:tentative="0">
      <w:start w:val="1"/>
      <w:numFmt w:val="bullet"/>
      <w:lvlText w:val=""/>
      <w:lvlJc w:val="left"/>
      <w:pPr>
        <w:ind w:left="420" w:hanging="420"/>
      </w:pPr>
      <w:rPr>
        <w:rFonts w:hint="default" w:ascii="Wingdings" w:hAnsi="Wingdings"/>
      </w:rPr>
    </w:lvl>
  </w:abstractNum>
  <w:abstractNum w:abstractNumId="2">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3">
    <w:nsid w:val="EE7DE87C"/>
    <w:multiLevelType w:val="singleLevel"/>
    <w:tmpl w:val="EE7DE87C"/>
    <w:lvl w:ilvl="0" w:tentative="0">
      <w:start w:val="1"/>
      <w:numFmt w:val="decimal"/>
      <w:suff w:val="space"/>
      <w:lvlText w:val="%1."/>
      <w:lvlJc w:val="left"/>
    </w:lvl>
  </w:abstractNum>
  <w:abstractNum w:abstractNumId="4">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5">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6">
    <w:nsid w:val="0F707B1C"/>
    <w:multiLevelType w:val="multilevel"/>
    <w:tmpl w:val="0F707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2252836A"/>
    <w:multiLevelType w:val="singleLevel"/>
    <w:tmpl w:val="2252836A"/>
    <w:lvl w:ilvl="0" w:tentative="0">
      <w:start w:val="1"/>
      <w:numFmt w:val="bullet"/>
      <w:lvlText w:val=""/>
      <w:lvlJc w:val="left"/>
      <w:pPr>
        <w:ind w:left="420" w:hanging="420"/>
      </w:pPr>
      <w:rPr>
        <w:rFonts w:hint="default" w:ascii="Wingdings" w:hAnsi="Wingdings"/>
      </w:rPr>
    </w:lvl>
  </w:abstractNum>
  <w:abstractNum w:abstractNumId="9">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0">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6AEA6AA4"/>
    <w:multiLevelType w:val="multilevel"/>
    <w:tmpl w:val="6AEA6A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11"/>
  </w:num>
  <w:num w:numId="3">
    <w:abstractNumId w:val="15"/>
  </w:num>
  <w:num w:numId="4">
    <w:abstractNumId w:val="7"/>
  </w:num>
  <w:num w:numId="5">
    <w:abstractNumId w:val="12"/>
  </w:num>
  <w:num w:numId="6">
    <w:abstractNumId w:val="5"/>
  </w:num>
  <w:num w:numId="7">
    <w:abstractNumId w:val="9"/>
  </w:num>
  <w:num w:numId="8">
    <w:abstractNumId w:val="4"/>
  </w:num>
  <w:num w:numId="9">
    <w:abstractNumId w:val="2"/>
  </w:num>
  <w:num w:numId="10">
    <w:abstractNumId w:val="3"/>
  </w:num>
  <w:num w:numId="11">
    <w:abstractNumId w:val="1"/>
  </w:num>
  <w:num w:numId="12">
    <w:abstractNumId w:val="6"/>
  </w:num>
  <w:num w:numId="13">
    <w:abstractNumId w:val="10"/>
  </w:num>
  <w:num w:numId="14">
    <w:abstractNumId w:val="13"/>
  </w:num>
  <w:num w:numId="15">
    <w:abstractNumId w:val="8"/>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85525"/>
    <w:rsid w:val="01415912"/>
    <w:rsid w:val="01491230"/>
    <w:rsid w:val="014E306B"/>
    <w:rsid w:val="01583662"/>
    <w:rsid w:val="015E1342"/>
    <w:rsid w:val="01633F5B"/>
    <w:rsid w:val="016853DB"/>
    <w:rsid w:val="01732AAC"/>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235236"/>
    <w:rsid w:val="02242FE2"/>
    <w:rsid w:val="022B3D13"/>
    <w:rsid w:val="02352785"/>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D3440B"/>
    <w:rsid w:val="02D55583"/>
    <w:rsid w:val="02E14C48"/>
    <w:rsid w:val="02ED42DD"/>
    <w:rsid w:val="02EE7A68"/>
    <w:rsid w:val="02F827B5"/>
    <w:rsid w:val="02FB0DE2"/>
    <w:rsid w:val="02FC44A4"/>
    <w:rsid w:val="0301505B"/>
    <w:rsid w:val="03157F31"/>
    <w:rsid w:val="032569FB"/>
    <w:rsid w:val="033169B2"/>
    <w:rsid w:val="033B56D0"/>
    <w:rsid w:val="033F28BF"/>
    <w:rsid w:val="03486E5D"/>
    <w:rsid w:val="03572688"/>
    <w:rsid w:val="036F1A46"/>
    <w:rsid w:val="037339E3"/>
    <w:rsid w:val="037451B3"/>
    <w:rsid w:val="0375443D"/>
    <w:rsid w:val="03786440"/>
    <w:rsid w:val="037D0CB3"/>
    <w:rsid w:val="03AC7B94"/>
    <w:rsid w:val="03B07C89"/>
    <w:rsid w:val="03B96EA9"/>
    <w:rsid w:val="03D4720A"/>
    <w:rsid w:val="03D93DB6"/>
    <w:rsid w:val="03F201A1"/>
    <w:rsid w:val="040D7E23"/>
    <w:rsid w:val="04153D40"/>
    <w:rsid w:val="041D56C0"/>
    <w:rsid w:val="042A49C3"/>
    <w:rsid w:val="042C4E2B"/>
    <w:rsid w:val="042C6F72"/>
    <w:rsid w:val="042F48EA"/>
    <w:rsid w:val="04324BA4"/>
    <w:rsid w:val="04443B68"/>
    <w:rsid w:val="04457368"/>
    <w:rsid w:val="044A489D"/>
    <w:rsid w:val="044C2EE9"/>
    <w:rsid w:val="04573E4B"/>
    <w:rsid w:val="04580326"/>
    <w:rsid w:val="045F4DF2"/>
    <w:rsid w:val="04654053"/>
    <w:rsid w:val="04676B50"/>
    <w:rsid w:val="04793516"/>
    <w:rsid w:val="047A3CFF"/>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C0C"/>
    <w:rsid w:val="05047AA9"/>
    <w:rsid w:val="0513096D"/>
    <w:rsid w:val="051800EA"/>
    <w:rsid w:val="05225CD8"/>
    <w:rsid w:val="05317828"/>
    <w:rsid w:val="05332F81"/>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B96530"/>
    <w:rsid w:val="05BB5AB9"/>
    <w:rsid w:val="05C15B39"/>
    <w:rsid w:val="05C42923"/>
    <w:rsid w:val="05C84C51"/>
    <w:rsid w:val="05D40DEE"/>
    <w:rsid w:val="05D55F1F"/>
    <w:rsid w:val="05E53FBB"/>
    <w:rsid w:val="05F61CD7"/>
    <w:rsid w:val="05F9582B"/>
    <w:rsid w:val="05FE3860"/>
    <w:rsid w:val="060F0D04"/>
    <w:rsid w:val="060F76E4"/>
    <w:rsid w:val="061B4495"/>
    <w:rsid w:val="061C3F4A"/>
    <w:rsid w:val="06226EA6"/>
    <w:rsid w:val="06233AA0"/>
    <w:rsid w:val="062522ED"/>
    <w:rsid w:val="062C21B1"/>
    <w:rsid w:val="063762B0"/>
    <w:rsid w:val="063A3B6F"/>
    <w:rsid w:val="06414B04"/>
    <w:rsid w:val="06431A76"/>
    <w:rsid w:val="064340F9"/>
    <w:rsid w:val="064E6EC7"/>
    <w:rsid w:val="066404E1"/>
    <w:rsid w:val="06694467"/>
    <w:rsid w:val="068C5A54"/>
    <w:rsid w:val="069053B0"/>
    <w:rsid w:val="06925482"/>
    <w:rsid w:val="0696055B"/>
    <w:rsid w:val="06963BA6"/>
    <w:rsid w:val="06A00E6B"/>
    <w:rsid w:val="06A14A2E"/>
    <w:rsid w:val="06C66BC4"/>
    <w:rsid w:val="06C745AE"/>
    <w:rsid w:val="06CC7EAD"/>
    <w:rsid w:val="06DB57CD"/>
    <w:rsid w:val="06DC5FA2"/>
    <w:rsid w:val="06DD6751"/>
    <w:rsid w:val="06E573E1"/>
    <w:rsid w:val="06EA5B71"/>
    <w:rsid w:val="06EB12EA"/>
    <w:rsid w:val="06F97293"/>
    <w:rsid w:val="06FC2F86"/>
    <w:rsid w:val="06FC49F0"/>
    <w:rsid w:val="06FD1204"/>
    <w:rsid w:val="07167BB0"/>
    <w:rsid w:val="07175632"/>
    <w:rsid w:val="07175F1D"/>
    <w:rsid w:val="07405608"/>
    <w:rsid w:val="07464A8A"/>
    <w:rsid w:val="074C2609"/>
    <w:rsid w:val="07530B70"/>
    <w:rsid w:val="0759303D"/>
    <w:rsid w:val="07770ECE"/>
    <w:rsid w:val="07782C88"/>
    <w:rsid w:val="0793463A"/>
    <w:rsid w:val="079B0830"/>
    <w:rsid w:val="079F680F"/>
    <w:rsid w:val="07A45702"/>
    <w:rsid w:val="07CD3CDD"/>
    <w:rsid w:val="07D56CE9"/>
    <w:rsid w:val="07ED0B0D"/>
    <w:rsid w:val="07FF7B2E"/>
    <w:rsid w:val="080B49C4"/>
    <w:rsid w:val="08130047"/>
    <w:rsid w:val="08130D4D"/>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E0696"/>
    <w:rsid w:val="089009EB"/>
    <w:rsid w:val="08913008"/>
    <w:rsid w:val="08A96B22"/>
    <w:rsid w:val="08AA60F0"/>
    <w:rsid w:val="08AC1471"/>
    <w:rsid w:val="08AE56A1"/>
    <w:rsid w:val="08B37272"/>
    <w:rsid w:val="08B40674"/>
    <w:rsid w:val="08BA7814"/>
    <w:rsid w:val="08BC1A4A"/>
    <w:rsid w:val="08C03B61"/>
    <w:rsid w:val="08C068E7"/>
    <w:rsid w:val="08C62C47"/>
    <w:rsid w:val="08C91775"/>
    <w:rsid w:val="08D40E0B"/>
    <w:rsid w:val="08EA2407"/>
    <w:rsid w:val="08F04EB8"/>
    <w:rsid w:val="08FE26E3"/>
    <w:rsid w:val="09015152"/>
    <w:rsid w:val="09164F64"/>
    <w:rsid w:val="09313723"/>
    <w:rsid w:val="09350FDF"/>
    <w:rsid w:val="093B76A2"/>
    <w:rsid w:val="09523F3D"/>
    <w:rsid w:val="095274DB"/>
    <w:rsid w:val="0955756B"/>
    <w:rsid w:val="095835E2"/>
    <w:rsid w:val="0968167E"/>
    <w:rsid w:val="09716BCA"/>
    <w:rsid w:val="098B2CC4"/>
    <w:rsid w:val="09953B9E"/>
    <w:rsid w:val="09C86C9A"/>
    <w:rsid w:val="09CF30F8"/>
    <w:rsid w:val="09D25747"/>
    <w:rsid w:val="09D26037"/>
    <w:rsid w:val="09D64B23"/>
    <w:rsid w:val="09E23546"/>
    <w:rsid w:val="09E35B70"/>
    <w:rsid w:val="09E37071"/>
    <w:rsid w:val="09E644B8"/>
    <w:rsid w:val="09E7434B"/>
    <w:rsid w:val="09E75D29"/>
    <w:rsid w:val="0A033A7B"/>
    <w:rsid w:val="0A110812"/>
    <w:rsid w:val="0A154A48"/>
    <w:rsid w:val="0A1A6F23"/>
    <w:rsid w:val="0A202BEA"/>
    <w:rsid w:val="0A333840"/>
    <w:rsid w:val="0A3F57B0"/>
    <w:rsid w:val="0A4F6CAF"/>
    <w:rsid w:val="0A52707D"/>
    <w:rsid w:val="0A565A84"/>
    <w:rsid w:val="0A596A08"/>
    <w:rsid w:val="0A794B51"/>
    <w:rsid w:val="0A7E33C5"/>
    <w:rsid w:val="0A864054"/>
    <w:rsid w:val="0A867423"/>
    <w:rsid w:val="0A932C90"/>
    <w:rsid w:val="0A9764ED"/>
    <w:rsid w:val="0AAD3763"/>
    <w:rsid w:val="0AAE6112"/>
    <w:rsid w:val="0AAF4E64"/>
    <w:rsid w:val="0AB155C2"/>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7217"/>
    <w:rsid w:val="0B331BEE"/>
    <w:rsid w:val="0B3D3C2F"/>
    <w:rsid w:val="0B4B42E4"/>
    <w:rsid w:val="0B642DAB"/>
    <w:rsid w:val="0B6D7260"/>
    <w:rsid w:val="0B704CA2"/>
    <w:rsid w:val="0B75558A"/>
    <w:rsid w:val="0B765B5B"/>
    <w:rsid w:val="0B83720D"/>
    <w:rsid w:val="0B9B163F"/>
    <w:rsid w:val="0BA33F49"/>
    <w:rsid w:val="0BA97EAB"/>
    <w:rsid w:val="0BB03B50"/>
    <w:rsid w:val="0BB0429A"/>
    <w:rsid w:val="0BB124BD"/>
    <w:rsid w:val="0BB261FB"/>
    <w:rsid w:val="0BB43441"/>
    <w:rsid w:val="0BB858A0"/>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369B"/>
    <w:rsid w:val="0C394019"/>
    <w:rsid w:val="0C4241D4"/>
    <w:rsid w:val="0C457178"/>
    <w:rsid w:val="0C4A769D"/>
    <w:rsid w:val="0C4D1042"/>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A706C"/>
    <w:rsid w:val="0CF550D2"/>
    <w:rsid w:val="0CF81195"/>
    <w:rsid w:val="0CFB25DD"/>
    <w:rsid w:val="0CFE4E6B"/>
    <w:rsid w:val="0D01207F"/>
    <w:rsid w:val="0D0C4CC8"/>
    <w:rsid w:val="0D19658C"/>
    <w:rsid w:val="0D1D50CE"/>
    <w:rsid w:val="0D214674"/>
    <w:rsid w:val="0D2D6A1B"/>
    <w:rsid w:val="0D3273D0"/>
    <w:rsid w:val="0D3A6AC1"/>
    <w:rsid w:val="0D3B0FD3"/>
    <w:rsid w:val="0D3F5CE9"/>
    <w:rsid w:val="0D5B6CCD"/>
    <w:rsid w:val="0D645815"/>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F1B83"/>
    <w:rsid w:val="0E05740D"/>
    <w:rsid w:val="0E1032A1"/>
    <w:rsid w:val="0E1A3BB0"/>
    <w:rsid w:val="0E260FA4"/>
    <w:rsid w:val="0E3E1628"/>
    <w:rsid w:val="0E3F1D32"/>
    <w:rsid w:val="0E475979"/>
    <w:rsid w:val="0E4B437F"/>
    <w:rsid w:val="0E4C1F50"/>
    <w:rsid w:val="0E52104E"/>
    <w:rsid w:val="0E6A585C"/>
    <w:rsid w:val="0E7145BF"/>
    <w:rsid w:val="0E8841E4"/>
    <w:rsid w:val="0E8A7F6C"/>
    <w:rsid w:val="0E967088"/>
    <w:rsid w:val="0E9A7A43"/>
    <w:rsid w:val="0EA0188B"/>
    <w:rsid w:val="0EA46D61"/>
    <w:rsid w:val="0EDE7618"/>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D74F1"/>
    <w:rsid w:val="0F5229B3"/>
    <w:rsid w:val="0F553938"/>
    <w:rsid w:val="0F626F3C"/>
    <w:rsid w:val="0F7656DC"/>
    <w:rsid w:val="0F8E4CED"/>
    <w:rsid w:val="0F9B659E"/>
    <w:rsid w:val="0FAD3D1E"/>
    <w:rsid w:val="0FBF6D8B"/>
    <w:rsid w:val="0FD521FE"/>
    <w:rsid w:val="0FE108E8"/>
    <w:rsid w:val="0FE25375"/>
    <w:rsid w:val="0FE33460"/>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9272E"/>
    <w:rsid w:val="106B567E"/>
    <w:rsid w:val="106C3C7A"/>
    <w:rsid w:val="10742570"/>
    <w:rsid w:val="1078522C"/>
    <w:rsid w:val="107D2892"/>
    <w:rsid w:val="10845E1B"/>
    <w:rsid w:val="10997F43"/>
    <w:rsid w:val="109B0DCE"/>
    <w:rsid w:val="10A226E9"/>
    <w:rsid w:val="10B073B3"/>
    <w:rsid w:val="10B50F76"/>
    <w:rsid w:val="10BE2C61"/>
    <w:rsid w:val="10D64D2E"/>
    <w:rsid w:val="10DE7BAE"/>
    <w:rsid w:val="10DF0A9B"/>
    <w:rsid w:val="11005D0B"/>
    <w:rsid w:val="110A6481"/>
    <w:rsid w:val="110B7857"/>
    <w:rsid w:val="110C1984"/>
    <w:rsid w:val="11177D15"/>
    <w:rsid w:val="11254AAD"/>
    <w:rsid w:val="11441260"/>
    <w:rsid w:val="11460115"/>
    <w:rsid w:val="114A78AB"/>
    <w:rsid w:val="11524FFA"/>
    <w:rsid w:val="1155307D"/>
    <w:rsid w:val="11555312"/>
    <w:rsid w:val="11574382"/>
    <w:rsid w:val="115B080A"/>
    <w:rsid w:val="1165653D"/>
    <w:rsid w:val="116A1D1E"/>
    <w:rsid w:val="1175349A"/>
    <w:rsid w:val="1176116C"/>
    <w:rsid w:val="118F429B"/>
    <w:rsid w:val="1194379C"/>
    <w:rsid w:val="119C4486"/>
    <w:rsid w:val="11B86BB3"/>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F07E2"/>
    <w:rsid w:val="123A2F95"/>
    <w:rsid w:val="12471B8F"/>
    <w:rsid w:val="125943EC"/>
    <w:rsid w:val="125C6285"/>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83D49"/>
    <w:rsid w:val="13094AF6"/>
    <w:rsid w:val="1312769F"/>
    <w:rsid w:val="1316525D"/>
    <w:rsid w:val="131C6E1F"/>
    <w:rsid w:val="13297454"/>
    <w:rsid w:val="133D5349"/>
    <w:rsid w:val="134428A9"/>
    <w:rsid w:val="13532AE8"/>
    <w:rsid w:val="135B2067"/>
    <w:rsid w:val="13825C11"/>
    <w:rsid w:val="138F74A5"/>
    <w:rsid w:val="13935EAB"/>
    <w:rsid w:val="139700CB"/>
    <w:rsid w:val="139D72BF"/>
    <w:rsid w:val="13AC69B7"/>
    <w:rsid w:val="13B02C53"/>
    <w:rsid w:val="13B2198A"/>
    <w:rsid w:val="13B93F8C"/>
    <w:rsid w:val="13BB37EC"/>
    <w:rsid w:val="13CF248D"/>
    <w:rsid w:val="13E05FAA"/>
    <w:rsid w:val="13ED2C6C"/>
    <w:rsid w:val="13F526CC"/>
    <w:rsid w:val="13F83651"/>
    <w:rsid w:val="14006D19"/>
    <w:rsid w:val="14011322"/>
    <w:rsid w:val="1419602F"/>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C57172"/>
    <w:rsid w:val="14C97023"/>
    <w:rsid w:val="14C97B45"/>
    <w:rsid w:val="14CA62B3"/>
    <w:rsid w:val="14CE1E8A"/>
    <w:rsid w:val="14D144FF"/>
    <w:rsid w:val="14E248D3"/>
    <w:rsid w:val="14E31122"/>
    <w:rsid w:val="14E51FD5"/>
    <w:rsid w:val="14EE31A4"/>
    <w:rsid w:val="14F93614"/>
    <w:rsid w:val="14FC1BFA"/>
    <w:rsid w:val="15004221"/>
    <w:rsid w:val="1504288A"/>
    <w:rsid w:val="150A6991"/>
    <w:rsid w:val="151F1BB4"/>
    <w:rsid w:val="15353059"/>
    <w:rsid w:val="1537655C"/>
    <w:rsid w:val="1538782E"/>
    <w:rsid w:val="153D7F2D"/>
    <w:rsid w:val="154B0A80"/>
    <w:rsid w:val="154F5CF7"/>
    <w:rsid w:val="155428A0"/>
    <w:rsid w:val="15557D76"/>
    <w:rsid w:val="15767345"/>
    <w:rsid w:val="157C3FB4"/>
    <w:rsid w:val="158F56D1"/>
    <w:rsid w:val="159D2C28"/>
    <w:rsid w:val="159F6E1C"/>
    <w:rsid w:val="15A22037"/>
    <w:rsid w:val="15AD52A1"/>
    <w:rsid w:val="15AE749F"/>
    <w:rsid w:val="15B249E7"/>
    <w:rsid w:val="15BA32B2"/>
    <w:rsid w:val="15BD50DF"/>
    <w:rsid w:val="15C4558A"/>
    <w:rsid w:val="15C64B46"/>
    <w:rsid w:val="15C9134E"/>
    <w:rsid w:val="15CC20F0"/>
    <w:rsid w:val="15CD5DFC"/>
    <w:rsid w:val="15ED3E9B"/>
    <w:rsid w:val="15F25971"/>
    <w:rsid w:val="160864F8"/>
    <w:rsid w:val="160F133F"/>
    <w:rsid w:val="161B298B"/>
    <w:rsid w:val="16232D5C"/>
    <w:rsid w:val="162D57EF"/>
    <w:rsid w:val="162E5A31"/>
    <w:rsid w:val="162E6AF4"/>
    <w:rsid w:val="163E1906"/>
    <w:rsid w:val="164514BE"/>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F5303A"/>
    <w:rsid w:val="16F94968"/>
    <w:rsid w:val="16FB7CA4"/>
    <w:rsid w:val="17021A07"/>
    <w:rsid w:val="170C35A6"/>
    <w:rsid w:val="170F06AA"/>
    <w:rsid w:val="171D4419"/>
    <w:rsid w:val="171D4EE1"/>
    <w:rsid w:val="17225508"/>
    <w:rsid w:val="17245068"/>
    <w:rsid w:val="172501AB"/>
    <w:rsid w:val="173906A7"/>
    <w:rsid w:val="173F6931"/>
    <w:rsid w:val="175C099D"/>
    <w:rsid w:val="175F4D5C"/>
    <w:rsid w:val="176B680F"/>
    <w:rsid w:val="176D30BC"/>
    <w:rsid w:val="176E7480"/>
    <w:rsid w:val="1779463B"/>
    <w:rsid w:val="177E3E97"/>
    <w:rsid w:val="1782289D"/>
    <w:rsid w:val="178B0E7C"/>
    <w:rsid w:val="178B572B"/>
    <w:rsid w:val="178D3DDA"/>
    <w:rsid w:val="17927D71"/>
    <w:rsid w:val="17952452"/>
    <w:rsid w:val="17A36655"/>
    <w:rsid w:val="17A6739A"/>
    <w:rsid w:val="17AD36D6"/>
    <w:rsid w:val="17B07FBC"/>
    <w:rsid w:val="17B51F07"/>
    <w:rsid w:val="17BF2702"/>
    <w:rsid w:val="17C00184"/>
    <w:rsid w:val="17CD54A1"/>
    <w:rsid w:val="17CF569F"/>
    <w:rsid w:val="17D02F25"/>
    <w:rsid w:val="17D71D1E"/>
    <w:rsid w:val="17DE3443"/>
    <w:rsid w:val="17E206E8"/>
    <w:rsid w:val="17E52942"/>
    <w:rsid w:val="1807227C"/>
    <w:rsid w:val="18083DFB"/>
    <w:rsid w:val="18094488"/>
    <w:rsid w:val="180A6E32"/>
    <w:rsid w:val="1813505F"/>
    <w:rsid w:val="18191B17"/>
    <w:rsid w:val="181D6874"/>
    <w:rsid w:val="181F0A62"/>
    <w:rsid w:val="18204145"/>
    <w:rsid w:val="1824372C"/>
    <w:rsid w:val="18267035"/>
    <w:rsid w:val="183F2CD2"/>
    <w:rsid w:val="1849373C"/>
    <w:rsid w:val="184D223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67F66"/>
    <w:rsid w:val="18E83469"/>
    <w:rsid w:val="18F35864"/>
    <w:rsid w:val="18F36BA5"/>
    <w:rsid w:val="18F64A8A"/>
    <w:rsid w:val="18FE1D82"/>
    <w:rsid w:val="1901754C"/>
    <w:rsid w:val="1910603C"/>
    <w:rsid w:val="19191C06"/>
    <w:rsid w:val="192F6848"/>
    <w:rsid w:val="194F68C1"/>
    <w:rsid w:val="195D7D48"/>
    <w:rsid w:val="19794F57"/>
    <w:rsid w:val="19851E64"/>
    <w:rsid w:val="19886272"/>
    <w:rsid w:val="198C3F77"/>
    <w:rsid w:val="1994791E"/>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721BD5"/>
    <w:rsid w:val="1A7D6DCB"/>
    <w:rsid w:val="1A833BC1"/>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574FB9"/>
    <w:rsid w:val="1B61065A"/>
    <w:rsid w:val="1B777005"/>
    <w:rsid w:val="1B83056C"/>
    <w:rsid w:val="1B8A61BD"/>
    <w:rsid w:val="1B8C14FC"/>
    <w:rsid w:val="1B965420"/>
    <w:rsid w:val="1B9C1BA1"/>
    <w:rsid w:val="1BA106C1"/>
    <w:rsid w:val="1BA323E9"/>
    <w:rsid w:val="1BAF299A"/>
    <w:rsid w:val="1BB51FFA"/>
    <w:rsid w:val="1BB96698"/>
    <w:rsid w:val="1BBF3927"/>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A167C"/>
    <w:rsid w:val="1C9F691E"/>
    <w:rsid w:val="1CA25780"/>
    <w:rsid w:val="1CA46512"/>
    <w:rsid w:val="1CA86413"/>
    <w:rsid w:val="1CB42226"/>
    <w:rsid w:val="1CB90797"/>
    <w:rsid w:val="1CBA2101"/>
    <w:rsid w:val="1CBC1C20"/>
    <w:rsid w:val="1CC742E6"/>
    <w:rsid w:val="1CD47626"/>
    <w:rsid w:val="1CF56512"/>
    <w:rsid w:val="1D0573D7"/>
    <w:rsid w:val="1D0927CD"/>
    <w:rsid w:val="1D134375"/>
    <w:rsid w:val="1D153DC4"/>
    <w:rsid w:val="1D170C45"/>
    <w:rsid w:val="1D1F2520"/>
    <w:rsid w:val="1D20042B"/>
    <w:rsid w:val="1D223E0B"/>
    <w:rsid w:val="1D317C9F"/>
    <w:rsid w:val="1D556162"/>
    <w:rsid w:val="1D677336"/>
    <w:rsid w:val="1D712D8A"/>
    <w:rsid w:val="1D7D25B3"/>
    <w:rsid w:val="1D8D1F09"/>
    <w:rsid w:val="1D8F2E8D"/>
    <w:rsid w:val="1D962818"/>
    <w:rsid w:val="1DA55031"/>
    <w:rsid w:val="1DAA14B9"/>
    <w:rsid w:val="1DB26E14"/>
    <w:rsid w:val="1DDD2F8D"/>
    <w:rsid w:val="1DDD518B"/>
    <w:rsid w:val="1DF26589"/>
    <w:rsid w:val="1DF42BB2"/>
    <w:rsid w:val="1E091CFB"/>
    <w:rsid w:val="1E0D05D6"/>
    <w:rsid w:val="1E132F88"/>
    <w:rsid w:val="1E264686"/>
    <w:rsid w:val="1E2867E9"/>
    <w:rsid w:val="1E2F1D22"/>
    <w:rsid w:val="1E2F7C3C"/>
    <w:rsid w:val="1E3D599F"/>
    <w:rsid w:val="1E460846"/>
    <w:rsid w:val="1E573E01"/>
    <w:rsid w:val="1E6131E6"/>
    <w:rsid w:val="1E6A142D"/>
    <w:rsid w:val="1E6B293B"/>
    <w:rsid w:val="1E7C624E"/>
    <w:rsid w:val="1E7F0A1A"/>
    <w:rsid w:val="1E80284A"/>
    <w:rsid w:val="1E83119C"/>
    <w:rsid w:val="1E853F6F"/>
    <w:rsid w:val="1E8A6D7C"/>
    <w:rsid w:val="1E9062B3"/>
    <w:rsid w:val="1E9C7B48"/>
    <w:rsid w:val="1E9C7BCC"/>
    <w:rsid w:val="1E9D068A"/>
    <w:rsid w:val="1EA72655"/>
    <w:rsid w:val="1EBB1865"/>
    <w:rsid w:val="1EC06DEC"/>
    <w:rsid w:val="1EC24504"/>
    <w:rsid w:val="1EC70A5A"/>
    <w:rsid w:val="1ECC1E3C"/>
    <w:rsid w:val="1ED53D9A"/>
    <w:rsid w:val="1ED861FA"/>
    <w:rsid w:val="1EDB2EB0"/>
    <w:rsid w:val="1EEB54F0"/>
    <w:rsid w:val="1EED3918"/>
    <w:rsid w:val="1EF5204B"/>
    <w:rsid w:val="1EF91970"/>
    <w:rsid w:val="1F0B13E0"/>
    <w:rsid w:val="1F111D05"/>
    <w:rsid w:val="1F14547E"/>
    <w:rsid w:val="1F1F101A"/>
    <w:rsid w:val="1F2302A1"/>
    <w:rsid w:val="1F3879C6"/>
    <w:rsid w:val="1F400656"/>
    <w:rsid w:val="1F4C4468"/>
    <w:rsid w:val="1F5C052B"/>
    <w:rsid w:val="1F611C06"/>
    <w:rsid w:val="1F657D6D"/>
    <w:rsid w:val="1F6D55FC"/>
    <w:rsid w:val="1F723FA7"/>
    <w:rsid w:val="1F7C71B6"/>
    <w:rsid w:val="1F804FA9"/>
    <w:rsid w:val="1F991D0F"/>
    <w:rsid w:val="1FA75A7B"/>
    <w:rsid w:val="1FAD5993"/>
    <w:rsid w:val="1FB2444B"/>
    <w:rsid w:val="1FB36033"/>
    <w:rsid w:val="1FC31B28"/>
    <w:rsid w:val="1FCD4855"/>
    <w:rsid w:val="1FD55D41"/>
    <w:rsid w:val="1FE836CA"/>
    <w:rsid w:val="1FEA4870"/>
    <w:rsid w:val="1FFB1323"/>
    <w:rsid w:val="200F7A29"/>
    <w:rsid w:val="20112787"/>
    <w:rsid w:val="201176A9"/>
    <w:rsid w:val="201264E0"/>
    <w:rsid w:val="201560AF"/>
    <w:rsid w:val="202253C5"/>
    <w:rsid w:val="20261A2A"/>
    <w:rsid w:val="202E2994"/>
    <w:rsid w:val="2034336D"/>
    <w:rsid w:val="20383044"/>
    <w:rsid w:val="203C06DD"/>
    <w:rsid w:val="205D36CC"/>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C088F"/>
    <w:rsid w:val="20D77715"/>
    <w:rsid w:val="20E8359B"/>
    <w:rsid w:val="20ED5D93"/>
    <w:rsid w:val="20F06128"/>
    <w:rsid w:val="20F7371D"/>
    <w:rsid w:val="20FB092C"/>
    <w:rsid w:val="2100389E"/>
    <w:rsid w:val="21014C39"/>
    <w:rsid w:val="210C2B53"/>
    <w:rsid w:val="21116884"/>
    <w:rsid w:val="211749D8"/>
    <w:rsid w:val="211B070A"/>
    <w:rsid w:val="21225A33"/>
    <w:rsid w:val="21244EB1"/>
    <w:rsid w:val="212F207F"/>
    <w:rsid w:val="213154ED"/>
    <w:rsid w:val="213964D8"/>
    <w:rsid w:val="21595D04"/>
    <w:rsid w:val="216043C0"/>
    <w:rsid w:val="216060D1"/>
    <w:rsid w:val="218E4FF0"/>
    <w:rsid w:val="21900E1F"/>
    <w:rsid w:val="219342A7"/>
    <w:rsid w:val="21AC29DE"/>
    <w:rsid w:val="21AE2BAE"/>
    <w:rsid w:val="21BA2A3F"/>
    <w:rsid w:val="21C02F32"/>
    <w:rsid w:val="21C06B56"/>
    <w:rsid w:val="21D74EED"/>
    <w:rsid w:val="21DD63A5"/>
    <w:rsid w:val="21E4036A"/>
    <w:rsid w:val="21F13629"/>
    <w:rsid w:val="21FC3606"/>
    <w:rsid w:val="2202535E"/>
    <w:rsid w:val="2208232E"/>
    <w:rsid w:val="220D1A6D"/>
    <w:rsid w:val="220F258C"/>
    <w:rsid w:val="221658E3"/>
    <w:rsid w:val="2217457B"/>
    <w:rsid w:val="222E1FA2"/>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C1203C"/>
    <w:rsid w:val="22CD6533"/>
    <w:rsid w:val="22D3417A"/>
    <w:rsid w:val="22D446DA"/>
    <w:rsid w:val="22DD23CC"/>
    <w:rsid w:val="22DF6543"/>
    <w:rsid w:val="22E826D5"/>
    <w:rsid w:val="22ED6B5D"/>
    <w:rsid w:val="22F11CE0"/>
    <w:rsid w:val="22F27762"/>
    <w:rsid w:val="22F705CF"/>
    <w:rsid w:val="22F779CA"/>
    <w:rsid w:val="2305377E"/>
    <w:rsid w:val="23085188"/>
    <w:rsid w:val="230C0884"/>
    <w:rsid w:val="23140F9B"/>
    <w:rsid w:val="23225D32"/>
    <w:rsid w:val="23233DDE"/>
    <w:rsid w:val="232D7DCE"/>
    <w:rsid w:val="23314593"/>
    <w:rsid w:val="233B2CEF"/>
    <w:rsid w:val="233E36E5"/>
    <w:rsid w:val="233F0132"/>
    <w:rsid w:val="23412115"/>
    <w:rsid w:val="23533210"/>
    <w:rsid w:val="23593C8D"/>
    <w:rsid w:val="235F2314"/>
    <w:rsid w:val="2361109A"/>
    <w:rsid w:val="23640908"/>
    <w:rsid w:val="2366675F"/>
    <w:rsid w:val="23727D1E"/>
    <w:rsid w:val="23741C9C"/>
    <w:rsid w:val="238210A1"/>
    <w:rsid w:val="23901822"/>
    <w:rsid w:val="23A0500A"/>
    <w:rsid w:val="23A35A46"/>
    <w:rsid w:val="23A87B77"/>
    <w:rsid w:val="23AA3139"/>
    <w:rsid w:val="23B50C89"/>
    <w:rsid w:val="23B7280F"/>
    <w:rsid w:val="23B82995"/>
    <w:rsid w:val="23B87BA4"/>
    <w:rsid w:val="23BE5BB1"/>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575B9"/>
    <w:rsid w:val="245668CE"/>
    <w:rsid w:val="24674894"/>
    <w:rsid w:val="24716CD9"/>
    <w:rsid w:val="24753161"/>
    <w:rsid w:val="248562CB"/>
    <w:rsid w:val="24870E7D"/>
    <w:rsid w:val="248F0EC7"/>
    <w:rsid w:val="249A1973"/>
    <w:rsid w:val="249A3081"/>
    <w:rsid w:val="249D7C09"/>
    <w:rsid w:val="24B05176"/>
    <w:rsid w:val="24B75312"/>
    <w:rsid w:val="24C20CDB"/>
    <w:rsid w:val="24CB6919"/>
    <w:rsid w:val="24D4257E"/>
    <w:rsid w:val="24E07603"/>
    <w:rsid w:val="24E53D16"/>
    <w:rsid w:val="24E60E96"/>
    <w:rsid w:val="24E87750"/>
    <w:rsid w:val="24F341DD"/>
    <w:rsid w:val="250039A6"/>
    <w:rsid w:val="250174C1"/>
    <w:rsid w:val="2511326E"/>
    <w:rsid w:val="251903EC"/>
    <w:rsid w:val="2524677D"/>
    <w:rsid w:val="252975B3"/>
    <w:rsid w:val="25345F10"/>
    <w:rsid w:val="25457F06"/>
    <w:rsid w:val="25465A38"/>
    <w:rsid w:val="255E30DE"/>
    <w:rsid w:val="2572202B"/>
    <w:rsid w:val="258E1126"/>
    <w:rsid w:val="2593425B"/>
    <w:rsid w:val="25A1633C"/>
    <w:rsid w:val="25A50377"/>
    <w:rsid w:val="25AF4EDF"/>
    <w:rsid w:val="25B21FCD"/>
    <w:rsid w:val="25B96C70"/>
    <w:rsid w:val="25BA7AF4"/>
    <w:rsid w:val="25BE1664"/>
    <w:rsid w:val="25C057A4"/>
    <w:rsid w:val="25C23B53"/>
    <w:rsid w:val="25CD7645"/>
    <w:rsid w:val="25D71E5D"/>
    <w:rsid w:val="25F1728B"/>
    <w:rsid w:val="25F7715A"/>
    <w:rsid w:val="2605683C"/>
    <w:rsid w:val="260B6A7A"/>
    <w:rsid w:val="262B432C"/>
    <w:rsid w:val="26307BB3"/>
    <w:rsid w:val="26385F45"/>
    <w:rsid w:val="263B5A2D"/>
    <w:rsid w:val="263F23CC"/>
    <w:rsid w:val="26480ADD"/>
    <w:rsid w:val="26603B12"/>
    <w:rsid w:val="267F61D2"/>
    <w:rsid w:val="26841699"/>
    <w:rsid w:val="26891709"/>
    <w:rsid w:val="26892157"/>
    <w:rsid w:val="268B6FC8"/>
    <w:rsid w:val="268C18C8"/>
    <w:rsid w:val="268C2B28"/>
    <w:rsid w:val="268E1EDE"/>
    <w:rsid w:val="26917CE7"/>
    <w:rsid w:val="26940BB8"/>
    <w:rsid w:val="26B5676D"/>
    <w:rsid w:val="26B96F87"/>
    <w:rsid w:val="26BB1419"/>
    <w:rsid w:val="26CE5995"/>
    <w:rsid w:val="26D85415"/>
    <w:rsid w:val="26DE3012"/>
    <w:rsid w:val="26F029A6"/>
    <w:rsid w:val="26F07FF2"/>
    <w:rsid w:val="26FB0C99"/>
    <w:rsid w:val="270B1314"/>
    <w:rsid w:val="270B2D9A"/>
    <w:rsid w:val="27107511"/>
    <w:rsid w:val="273C2FCF"/>
    <w:rsid w:val="273C6E35"/>
    <w:rsid w:val="273E4F70"/>
    <w:rsid w:val="2741059E"/>
    <w:rsid w:val="27461A28"/>
    <w:rsid w:val="274A7DF7"/>
    <w:rsid w:val="276032C4"/>
    <w:rsid w:val="277124DF"/>
    <w:rsid w:val="2781195F"/>
    <w:rsid w:val="278A6DCB"/>
    <w:rsid w:val="278E5420"/>
    <w:rsid w:val="278F4058"/>
    <w:rsid w:val="27982EAB"/>
    <w:rsid w:val="27991704"/>
    <w:rsid w:val="279C2669"/>
    <w:rsid w:val="279D76B2"/>
    <w:rsid w:val="27A14592"/>
    <w:rsid w:val="27A72D07"/>
    <w:rsid w:val="27B26AD3"/>
    <w:rsid w:val="27B748AA"/>
    <w:rsid w:val="27BA2B3F"/>
    <w:rsid w:val="27C67CC3"/>
    <w:rsid w:val="27CB4CB9"/>
    <w:rsid w:val="27CF1700"/>
    <w:rsid w:val="27D508EE"/>
    <w:rsid w:val="27D74A6C"/>
    <w:rsid w:val="27EA3C4C"/>
    <w:rsid w:val="27F5401C"/>
    <w:rsid w:val="27FF320F"/>
    <w:rsid w:val="281C2F58"/>
    <w:rsid w:val="281E56A5"/>
    <w:rsid w:val="28213AAB"/>
    <w:rsid w:val="28225752"/>
    <w:rsid w:val="28236AF4"/>
    <w:rsid w:val="282412E8"/>
    <w:rsid w:val="28267AC9"/>
    <w:rsid w:val="282B4CD3"/>
    <w:rsid w:val="283619B3"/>
    <w:rsid w:val="283622D5"/>
    <w:rsid w:val="285862BF"/>
    <w:rsid w:val="2874236C"/>
    <w:rsid w:val="2881222E"/>
    <w:rsid w:val="28817483"/>
    <w:rsid w:val="288750C4"/>
    <w:rsid w:val="288E50E9"/>
    <w:rsid w:val="289A1B82"/>
    <w:rsid w:val="289A2137"/>
    <w:rsid w:val="28A066CA"/>
    <w:rsid w:val="28A831A8"/>
    <w:rsid w:val="28AE124C"/>
    <w:rsid w:val="28BD5FE3"/>
    <w:rsid w:val="28C21ED5"/>
    <w:rsid w:val="28CD1B01"/>
    <w:rsid w:val="28E16F0F"/>
    <w:rsid w:val="28ED0E6B"/>
    <w:rsid w:val="28F803C7"/>
    <w:rsid w:val="28FC52BC"/>
    <w:rsid w:val="28FC6DCD"/>
    <w:rsid w:val="28FD484F"/>
    <w:rsid w:val="28FE6A4D"/>
    <w:rsid w:val="29031665"/>
    <w:rsid w:val="290872A8"/>
    <w:rsid w:val="29117C6C"/>
    <w:rsid w:val="29140BF0"/>
    <w:rsid w:val="291907AC"/>
    <w:rsid w:val="29241954"/>
    <w:rsid w:val="292570BF"/>
    <w:rsid w:val="293A5427"/>
    <w:rsid w:val="29423CBE"/>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B02267"/>
    <w:rsid w:val="29B24645"/>
    <w:rsid w:val="29B42A2D"/>
    <w:rsid w:val="29B6583A"/>
    <w:rsid w:val="29BA796F"/>
    <w:rsid w:val="29CB2E15"/>
    <w:rsid w:val="29CD0532"/>
    <w:rsid w:val="29DF73C0"/>
    <w:rsid w:val="29E15FE8"/>
    <w:rsid w:val="29FC463C"/>
    <w:rsid w:val="2A021053"/>
    <w:rsid w:val="2A075092"/>
    <w:rsid w:val="2A156225"/>
    <w:rsid w:val="2A2C4D44"/>
    <w:rsid w:val="2A2E6158"/>
    <w:rsid w:val="2A34628C"/>
    <w:rsid w:val="2A372CB5"/>
    <w:rsid w:val="2A382855"/>
    <w:rsid w:val="2A5679E9"/>
    <w:rsid w:val="2A5A0EB5"/>
    <w:rsid w:val="2A621B97"/>
    <w:rsid w:val="2A660B65"/>
    <w:rsid w:val="2A6A7F9D"/>
    <w:rsid w:val="2A724D05"/>
    <w:rsid w:val="2A7E505C"/>
    <w:rsid w:val="2A8F53BC"/>
    <w:rsid w:val="2A9071E3"/>
    <w:rsid w:val="2A984FF3"/>
    <w:rsid w:val="2A9D2C76"/>
    <w:rsid w:val="2AA8488A"/>
    <w:rsid w:val="2AAB2335"/>
    <w:rsid w:val="2AB71A18"/>
    <w:rsid w:val="2AC77529"/>
    <w:rsid w:val="2AC85686"/>
    <w:rsid w:val="2AD04B5F"/>
    <w:rsid w:val="2AD134D0"/>
    <w:rsid w:val="2AD16814"/>
    <w:rsid w:val="2AD75410"/>
    <w:rsid w:val="2ADE10CD"/>
    <w:rsid w:val="2B0F5533"/>
    <w:rsid w:val="2B136D58"/>
    <w:rsid w:val="2B37440B"/>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F1614"/>
    <w:rsid w:val="2BFE4AAC"/>
    <w:rsid w:val="2C0B5689"/>
    <w:rsid w:val="2C112837"/>
    <w:rsid w:val="2C1A16F9"/>
    <w:rsid w:val="2C2A6F85"/>
    <w:rsid w:val="2C2C358E"/>
    <w:rsid w:val="2C2D4686"/>
    <w:rsid w:val="2C2E197F"/>
    <w:rsid w:val="2C344011"/>
    <w:rsid w:val="2C466AA1"/>
    <w:rsid w:val="2C4677AE"/>
    <w:rsid w:val="2C557E09"/>
    <w:rsid w:val="2C566767"/>
    <w:rsid w:val="2C5D1885"/>
    <w:rsid w:val="2C6A7D48"/>
    <w:rsid w:val="2C6D0F75"/>
    <w:rsid w:val="2C7A0008"/>
    <w:rsid w:val="2C7E6A0F"/>
    <w:rsid w:val="2C8139BA"/>
    <w:rsid w:val="2C910453"/>
    <w:rsid w:val="2C974249"/>
    <w:rsid w:val="2C9B1252"/>
    <w:rsid w:val="2C9C2786"/>
    <w:rsid w:val="2C9E7C7C"/>
    <w:rsid w:val="2CA2349F"/>
    <w:rsid w:val="2CB7002B"/>
    <w:rsid w:val="2CC13667"/>
    <w:rsid w:val="2CD418C9"/>
    <w:rsid w:val="2CD86DED"/>
    <w:rsid w:val="2CDA6BBA"/>
    <w:rsid w:val="2CE45BD0"/>
    <w:rsid w:val="2CEE6CC2"/>
    <w:rsid w:val="2D1026FA"/>
    <w:rsid w:val="2D1E5293"/>
    <w:rsid w:val="2D276581"/>
    <w:rsid w:val="2D337631"/>
    <w:rsid w:val="2D3C627C"/>
    <w:rsid w:val="2D40460F"/>
    <w:rsid w:val="2D4E0464"/>
    <w:rsid w:val="2D541EEA"/>
    <w:rsid w:val="2D631447"/>
    <w:rsid w:val="2D6A7911"/>
    <w:rsid w:val="2D814BB2"/>
    <w:rsid w:val="2D815E39"/>
    <w:rsid w:val="2D964DE9"/>
    <w:rsid w:val="2D965677"/>
    <w:rsid w:val="2D9F6AE6"/>
    <w:rsid w:val="2DAA06FA"/>
    <w:rsid w:val="2DB23588"/>
    <w:rsid w:val="2DB60D14"/>
    <w:rsid w:val="2DB85492"/>
    <w:rsid w:val="2DC615EA"/>
    <w:rsid w:val="2DD05F26"/>
    <w:rsid w:val="2DDB0EC9"/>
    <w:rsid w:val="2DE06617"/>
    <w:rsid w:val="2DE51F61"/>
    <w:rsid w:val="2DE64CDC"/>
    <w:rsid w:val="2DF2692F"/>
    <w:rsid w:val="2E01302A"/>
    <w:rsid w:val="2E014790"/>
    <w:rsid w:val="2E08402D"/>
    <w:rsid w:val="2E093F97"/>
    <w:rsid w:val="2E0D6915"/>
    <w:rsid w:val="2E1021FF"/>
    <w:rsid w:val="2E1F613B"/>
    <w:rsid w:val="2E200339"/>
    <w:rsid w:val="2E204634"/>
    <w:rsid w:val="2E3A3A6A"/>
    <w:rsid w:val="2E3C46CC"/>
    <w:rsid w:val="2E496E6E"/>
    <w:rsid w:val="2E4C7F04"/>
    <w:rsid w:val="2E506CC6"/>
    <w:rsid w:val="2E5C4A5C"/>
    <w:rsid w:val="2E601123"/>
    <w:rsid w:val="2E6336F3"/>
    <w:rsid w:val="2E6A7558"/>
    <w:rsid w:val="2E751753"/>
    <w:rsid w:val="2E8E096D"/>
    <w:rsid w:val="2E930E04"/>
    <w:rsid w:val="2E960D92"/>
    <w:rsid w:val="2EAD693A"/>
    <w:rsid w:val="2EAE1413"/>
    <w:rsid w:val="2EAE1DA5"/>
    <w:rsid w:val="2EAF79E1"/>
    <w:rsid w:val="2EB17C28"/>
    <w:rsid w:val="2EB30BAD"/>
    <w:rsid w:val="2EBA0FB6"/>
    <w:rsid w:val="2EC34E1C"/>
    <w:rsid w:val="2EC47B37"/>
    <w:rsid w:val="2ED96DC0"/>
    <w:rsid w:val="2EDB4761"/>
    <w:rsid w:val="2EE20F0A"/>
    <w:rsid w:val="2EE72300"/>
    <w:rsid w:val="2EE77680"/>
    <w:rsid w:val="2EE85384"/>
    <w:rsid w:val="2EF00A12"/>
    <w:rsid w:val="2EF05832"/>
    <w:rsid w:val="2EF850E2"/>
    <w:rsid w:val="2F0261AD"/>
    <w:rsid w:val="2F0625C2"/>
    <w:rsid w:val="2F0F0E76"/>
    <w:rsid w:val="2F162C7E"/>
    <w:rsid w:val="2F1C5ED1"/>
    <w:rsid w:val="2F26400E"/>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A70460"/>
    <w:rsid w:val="2FB546EB"/>
    <w:rsid w:val="2FB616D4"/>
    <w:rsid w:val="2FB674D6"/>
    <w:rsid w:val="2FB70619"/>
    <w:rsid w:val="2FBF7DE5"/>
    <w:rsid w:val="2FCE00FB"/>
    <w:rsid w:val="2FCF47FC"/>
    <w:rsid w:val="2FD64F9B"/>
    <w:rsid w:val="2FF16036"/>
    <w:rsid w:val="2FFE78CA"/>
    <w:rsid w:val="3008338E"/>
    <w:rsid w:val="30083A5D"/>
    <w:rsid w:val="3008740D"/>
    <w:rsid w:val="30126F25"/>
    <w:rsid w:val="30195EF5"/>
    <w:rsid w:val="301C6BB6"/>
    <w:rsid w:val="302951F8"/>
    <w:rsid w:val="30386AE6"/>
    <w:rsid w:val="304F5D99"/>
    <w:rsid w:val="305016E5"/>
    <w:rsid w:val="305118D2"/>
    <w:rsid w:val="30614AA9"/>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B201E"/>
    <w:rsid w:val="310C014A"/>
    <w:rsid w:val="31116338"/>
    <w:rsid w:val="311D3DF9"/>
    <w:rsid w:val="31216728"/>
    <w:rsid w:val="31393632"/>
    <w:rsid w:val="313D0377"/>
    <w:rsid w:val="31443807"/>
    <w:rsid w:val="31630496"/>
    <w:rsid w:val="316D3DD0"/>
    <w:rsid w:val="316D5522"/>
    <w:rsid w:val="3176289F"/>
    <w:rsid w:val="319708F2"/>
    <w:rsid w:val="319747C2"/>
    <w:rsid w:val="3199182A"/>
    <w:rsid w:val="319C45A7"/>
    <w:rsid w:val="319C6071"/>
    <w:rsid w:val="31A2530D"/>
    <w:rsid w:val="31A8260E"/>
    <w:rsid w:val="31AB78A1"/>
    <w:rsid w:val="31B14C9E"/>
    <w:rsid w:val="31B97BA0"/>
    <w:rsid w:val="31BC1BBB"/>
    <w:rsid w:val="31BE782D"/>
    <w:rsid w:val="31BF1AA9"/>
    <w:rsid w:val="31C34591"/>
    <w:rsid w:val="31CF7002"/>
    <w:rsid w:val="31D81BDF"/>
    <w:rsid w:val="31D95ED6"/>
    <w:rsid w:val="31DD5420"/>
    <w:rsid w:val="31E7783E"/>
    <w:rsid w:val="31EB554E"/>
    <w:rsid w:val="31EB75D7"/>
    <w:rsid w:val="31F17A6E"/>
    <w:rsid w:val="31F30C92"/>
    <w:rsid w:val="31F37958"/>
    <w:rsid w:val="31F7164A"/>
    <w:rsid w:val="31F80989"/>
    <w:rsid w:val="32103298"/>
    <w:rsid w:val="32184101"/>
    <w:rsid w:val="322E6825"/>
    <w:rsid w:val="323068E5"/>
    <w:rsid w:val="32314D0B"/>
    <w:rsid w:val="32421687"/>
    <w:rsid w:val="32431073"/>
    <w:rsid w:val="325E18AE"/>
    <w:rsid w:val="32692A60"/>
    <w:rsid w:val="327A39E4"/>
    <w:rsid w:val="327B56DF"/>
    <w:rsid w:val="327C0420"/>
    <w:rsid w:val="32940321"/>
    <w:rsid w:val="32987176"/>
    <w:rsid w:val="32B86261"/>
    <w:rsid w:val="32C04CBB"/>
    <w:rsid w:val="32C11B02"/>
    <w:rsid w:val="32C8574C"/>
    <w:rsid w:val="32D257FE"/>
    <w:rsid w:val="32D41327"/>
    <w:rsid w:val="32DD556E"/>
    <w:rsid w:val="32E72810"/>
    <w:rsid w:val="3306508F"/>
    <w:rsid w:val="332B149D"/>
    <w:rsid w:val="33314601"/>
    <w:rsid w:val="3332427C"/>
    <w:rsid w:val="333E7D22"/>
    <w:rsid w:val="3340583D"/>
    <w:rsid w:val="335E31CF"/>
    <w:rsid w:val="338A6577"/>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3637B7"/>
    <w:rsid w:val="34485E43"/>
    <w:rsid w:val="344C156B"/>
    <w:rsid w:val="344C5C41"/>
    <w:rsid w:val="34585E2A"/>
    <w:rsid w:val="345F028E"/>
    <w:rsid w:val="34653713"/>
    <w:rsid w:val="34682DFF"/>
    <w:rsid w:val="346C7B0F"/>
    <w:rsid w:val="34781CA2"/>
    <w:rsid w:val="34807672"/>
    <w:rsid w:val="34814B30"/>
    <w:rsid w:val="3488080A"/>
    <w:rsid w:val="348908FF"/>
    <w:rsid w:val="34890E71"/>
    <w:rsid w:val="348A543F"/>
    <w:rsid w:val="348B1831"/>
    <w:rsid w:val="349A7C58"/>
    <w:rsid w:val="349C065E"/>
    <w:rsid w:val="34A12C32"/>
    <w:rsid w:val="34B21923"/>
    <w:rsid w:val="34C25528"/>
    <w:rsid w:val="34CE4C2F"/>
    <w:rsid w:val="34D15BB4"/>
    <w:rsid w:val="34D41F3D"/>
    <w:rsid w:val="34D94F76"/>
    <w:rsid w:val="34EC149C"/>
    <w:rsid w:val="34F547A7"/>
    <w:rsid w:val="350B4A94"/>
    <w:rsid w:val="350D65F0"/>
    <w:rsid w:val="3511441F"/>
    <w:rsid w:val="352E1016"/>
    <w:rsid w:val="35301450"/>
    <w:rsid w:val="355931F7"/>
    <w:rsid w:val="35644315"/>
    <w:rsid w:val="35646427"/>
    <w:rsid w:val="35712D5D"/>
    <w:rsid w:val="357850C8"/>
    <w:rsid w:val="35853CE3"/>
    <w:rsid w:val="35867971"/>
    <w:rsid w:val="358D0FD7"/>
    <w:rsid w:val="359D4003"/>
    <w:rsid w:val="35B06C6A"/>
    <w:rsid w:val="35B66242"/>
    <w:rsid w:val="35C06303"/>
    <w:rsid w:val="35C54989"/>
    <w:rsid w:val="35C73209"/>
    <w:rsid w:val="35CE0055"/>
    <w:rsid w:val="35D05A62"/>
    <w:rsid w:val="35D15757"/>
    <w:rsid w:val="35EE4FC9"/>
    <w:rsid w:val="35F76384"/>
    <w:rsid w:val="3602087F"/>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41AA2"/>
    <w:rsid w:val="36962695"/>
    <w:rsid w:val="36B21D17"/>
    <w:rsid w:val="36B85C99"/>
    <w:rsid w:val="36D37423"/>
    <w:rsid w:val="36D76676"/>
    <w:rsid w:val="36EA3CA5"/>
    <w:rsid w:val="36EA5250"/>
    <w:rsid w:val="36ED4EA7"/>
    <w:rsid w:val="36F16EB3"/>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B1F70"/>
    <w:rsid w:val="37C95891"/>
    <w:rsid w:val="37CB4618"/>
    <w:rsid w:val="37E5630E"/>
    <w:rsid w:val="37F930DD"/>
    <w:rsid w:val="381D4A5A"/>
    <w:rsid w:val="383C5674"/>
    <w:rsid w:val="383C5BD0"/>
    <w:rsid w:val="384449DD"/>
    <w:rsid w:val="384F232D"/>
    <w:rsid w:val="385122F2"/>
    <w:rsid w:val="38526B5E"/>
    <w:rsid w:val="385876FF"/>
    <w:rsid w:val="385E6666"/>
    <w:rsid w:val="38704D62"/>
    <w:rsid w:val="3874396E"/>
    <w:rsid w:val="38750761"/>
    <w:rsid w:val="388614C8"/>
    <w:rsid w:val="388732E0"/>
    <w:rsid w:val="388E28CE"/>
    <w:rsid w:val="38A80783"/>
    <w:rsid w:val="38B17BBF"/>
    <w:rsid w:val="38C8340A"/>
    <w:rsid w:val="38CE1966"/>
    <w:rsid w:val="38E66069"/>
    <w:rsid w:val="38EC25D9"/>
    <w:rsid w:val="38F378FD"/>
    <w:rsid w:val="39041477"/>
    <w:rsid w:val="3905523C"/>
    <w:rsid w:val="39153335"/>
    <w:rsid w:val="391B3B8E"/>
    <w:rsid w:val="391D02CF"/>
    <w:rsid w:val="391D7897"/>
    <w:rsid w:val="39273DCB"/>
    <w:rsid w:val="39370C74"/>
    <w:rsid w:val="39377542"/>
    <w:rsid w:val="39392E17"/>
    <w:rsid w:val="393D7317"/>
    <w:rsid w:val="39413509"/>
    <w:rsid w:val="39511366"/>
    <w:rsid w:val="395363B2"/>
    <w:rsid w:val="396C3D44"/>
    <w:rsid w:val="396C5791"/>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F3889"/>
    <w:rsid w:val="3A2F5E57"/>
    <w:rsid w:val="3A324A7B"/>
    <w:rsid w:val="3A362F18"/>
    <w:rsid w:val="3A476F2A"/>
    <w:rsid w:val="3A640F7C"/>
    <w:rsid w:val="3A692CD0"/>
    <w:rsid w:val="3A706310"/>
    <w:rsid w:val="3A7E0932"/>
    <w:rsid w:val="3A7F53CD"/>
    <w:rsid w:val="3A871F12"/>
    <w:rsid w:val="3A9A0F33"/>
    <w:rsid w:val="3A9A6056"/>
    <w:rsid w:val="3AA6202F"/>
    <w:rsid w:val="3AAE4AA7"/>
    <w:rsid w:val="3AB16085"/>
    <w:rsid w:val="3AB33379"/>
    <w:rsid w:val="3ACF6793"/>
    <w:rsid w:val="3AD35D23"/>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4206B"/>
    <w:rsid w:val="3B4B54D3"/>
    <w:rsid w:val="3B5F2062"/>
    <w:rsid w:val="3B673620"/>
    <w:rsid w:val="3B675718"/>
    <w:rsid w:val="3B700612"/>
    <w:rsid w:val="3B755220"/>
    <w:rsid w:val="3B885B67"/>
    <w:rsid w:val="3B8B3ED9"/>
    <w:rsid w:val="3B941F57"/>
    <w:rsid w:val="3B980E56"/>
    <w:rsid w:val="3B9A0AD5"/>
    <w:rsid w:val="3B9A1F29"/>
    <w:rsid w:val="3B9B3FEF"/>
    <w:rsid w:val="3B9C0EAC"/>
    <w:rsid w:val="3BA23963"/>
    <w:rsid w:val="3BA331AE"/>
    <w:rsid w:val="3BA94728"/>
    <w:rsid w:val="3BB02C79"/>
    <w:rsid w:val="3BB7141A"/>
    <w:rsid w:val="3BBD05A5"/>
    <w:rsid w:val="3BBD6FDA"/>
    <w:rsid w:val="3BC05B96"/>
    <w:rsid w:val="3BC26AB2"/>
    <w:rsid w:val="3BCB73E9"/>
    <w:rsid w:val="3BF6321E"/>
    <w:rsid w:val="3BFA1A3E"/>
    <w:rsid w:val="3C0A7E90"/>
    <w:rsid w:val="3C0B53D0"/>
    <w:rsid w:val="3C0E4317"/>
    <w:rsid w:val="3C1A1957"/>
    <w:rsid w:val="3C1C040E"/>
    <w:rsid w:val="3C1D10AF"/>
    <w:rsid w:val="3C1E1159"/>
    <w:rsid w:val="3C2A4B41"/>
    <w:rsid w:val="3C2D1349"/>
    <w:rsid w:val="3C317D4F"/>
    <w:rsid w:val="3C373BE3"/>
    <w:rsid w:val="3C4810DA"/>
    <w:rsid w:val="3C4D7ECE"/>
    <w:rsid w:val="3C593492"/>
    <w:rsid w:val="3C5B366D"/>
    <w:rsid w:val="3C6014F8"/>
    <w:rsid w:val="3C6C0684"/>
    <w:rsid w:val="3C6D68AF"/>
    <w:rsid w:val="3C6E311D"/>
    <w:rsid w:val="3C710B39"/>
    <w:rsid w:val="3C747961"/>
    <w:rsid w:val="3C761845"/>
    <w:rsid w:val="3C8368C4"/>
    <w:rsid w:val="3C8F78F1"/>
    <w:rsid w:val="3C93773A"/>
    <w:rsid w:val="3CA8139B"/>
    <w:rsid w:val="3CAC21A2"/>
    <w:rsid w:val="3CBE5363"/>
    <w:rsid w:val="3CC7590A"/>
    <w:rsid w:val="3CD63010"/>
    <w:rsid w:val="3CE4646B"/>
    <w:rsid w:val="3CEE0E79"/>
    <w:rsid w:val="3CFC1228"/>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E6611C"/>
    <w:rsid w:val="3DF52A92"/>
    <w:rsid w:val="3DF535E5"/>
    <w:rsid w:val="3DF56736"/>
    <w:rsid w:val="3DFC4E7F"/>
    <w:rsid w:val="3E027D33"/>
    <w:rsid w:val="3E095155"/>
    <w:rsid w:val="3E0C543F"/>
    <w:rsid w:val="3E142C5B"/>
    <w:rsid w:val="3E2B1695"/>
    <w:rsid w:val="3E342570"/>
    <w:rsid w:val="3E3826A3"/>
    <w:rsid w:val="3E386E20"/>
    <w:rsid w:val="3E392BDF"/>
    <w:rsid w:val="3E4343A8"/>
    <w:rsid w:val="3E49481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BB1744"/>
    <w:rsid w:val="3EBB2C7C"/>
    <w:rsid w:val="3EBB73F9"/>
    <w:rsid w:val="3EBF1682"/>
    <w:rsid w:val="3EBF533B"/>
    <w:rsid w:val="3EC164B6"/>
    <w:rsid w:val="3EC538B8"/>
    <w:rsid w:val="3EC57D08"/>
    <w:rsid w:val="3ECD719A"/>
    <w:rsid w:val="3EDC644D"/>
    <w:rsid w:val="3EDD2B69"/>
    <w:rsid w:val="3EFA3D9C"/>
    <w:rsid w:val="3EFF0DE7"/>
    <w:rsid w:val="3F2D4256"/>
    <w:rsid w:val="3F4A7535"/>
    <w:rsid w:val="3F4F0B07"/>
    <w:rsid w:val="3F543CB9"/>
    <w:rsid w:val="3F5F64EF"/>
    <w:rsid w:val="3F63690D"/>
    <w:rsid w:val="3F682D95"/>
    <w:rsid w:val="3F6F01A1"/>
    <w:rsid w:val="3F700066"/>
    <w:rsid w:val="3F7529EA"/>
    <w:rsid w:val="3F7847C4"/>
    <w:rsid w:val="3FC27ABE"/>
    <w:rsid w:val="3FC452BC"/>
    <w:rsid w:val="3FCB4ACB"/>
    <w:rsid w:val="3FDD7BEF"/>
    <w:rsid w:val="3FEB336E"/>
    <w:rsid w:val="3FEC0DF0"/>
    <w:rsid w:val="3FF077F6"/>
    <w:rsid w:val="3FF45D74"/>
    <w:rsid w:val="3FFD3288"/>
    <w:rsid w:val="40047AC2"/>
    <w:rsid w:val="40093CF1"/>
    <w:rsid w:val="401C75FF"/>
    <w:rsid w:val="40224BA3"/>
    <w:rsid w:val="403E1AF3"/>
    <w:rsid w:val="40407146"/>
    <w:rsid w:val="405F175E"/>
    <w:rsid w:val="40662CB8"/>
    <w:rsid w:val="40693250"/>
    <w:rsid w:val="406E1A63"/>
    <w:rsid w:val="406E32F1"/>
    <w:rsid w:val="406F22C2"/>
    <w:rsid w:val="40772F52"/>
    <w:rsid w:val="407B0CD6"/>
    <w:rsid w:val="40813F04"/>
    <w:rsid w:val="4087122F"/>
    <w:rsid w:val="4092099C"/>
    <w:rsid w:val="40977F45"/>
    <w:rsid w:val="40981959"/>
    <w:rsid w:val="409D5390"/>
    <w:rsid w:val="40A44D1B"/>
    <w:rsid w:val="40B65BAB"/>
    <w:rsid w:val="40B76032"/>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374193"/>
    <w:rsid w:val="41425B1E"/>
    <w:rsid w:val="4147024C"/>
    <w:rsid w:val="415625C0"/>
    <w:rsid w:val="415A7D5F"/>
    <w:rsid w:val="415E18FE"/>
    <w:rsid w:val="416C4764"/>
    <w:rsid w:val="417377F4"/>
    <w:rsid w:val="41783EA3"/>
    <w:rsid w:val="418E271A"/>
    <w:rsid w:val="419A5181"/>
    <w:rsid w:val="419D50B7"/>
    <w:rsid w:val="41AC5B0E"/>
    <w:rsid w:val="41AD23E1"/>
    <w:rsid w:val="41B144B2"/>
    <w:rsid w:val="41B7389A"/>
    <w:rsid w:val="41C62468"/>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325B2"/>
    <w:rsid w:val="424D38D5"/>
    <w:rsid w:val="425637AE"/>
    <w:rsid w:val="42593D77"/>
    <w:rsid w:val="425A4AF9"/>
    <w:rsid w:val="425D1AEE"/>
    <w:rsid w:val="42621DDF"/>
    <w:rsid w:val="426A6C05"/>
    <w:rsid w:val="4277089F"/>
    <w:rsid w:val="427D2CF7"/>
    <w:rsid w:val="427F111D"/>
    <w:rsid w:val="42853347"/>
    <w:rsid w:val="42854E3C"/>
    <w:rsid w:val="42895E35"/>
    <w:rsid w:val="428C263D"/>
    <w:rsid w:val="428D4272"/>
    <w:rsid w:val="428F7D3E"/>
    <w:rsid w:val="42901365"/>
    <w:rsid w:val="42A922C2"/>
    <w:rsid w:val="42D40833"/>
    <w:rsid w:val="42D504B3"/>
    <w:rsid w:val="42EE2C85"/>
    <w:rsid w:val="42F609E7"/>
    <w:rsid w:val="42F869D2"/>
    <w:rsid w:val="42FC10CD"/>
    <w:rsid w:val="430147FA"/>
    <w:rsid w:val="430E1911"/>
    <w:rsid w:val="43106727"/>
    <w:rsid w:val="43131F93"/>
    <w:rsid w:val="43140B14"/>
    <w:rsid w:val="43236FE4"/>
    <w:rsid w:val="432C0EC1"/>
    <w:rsid w:val="43464B77"/>
    <w:rsid w:val="43520E20"/>
    <w:rsid w:val="43553536"/>
    <w:rsid w:val="43577787"/>
    <w:rsid w:val="435840A6"/>
    <w:rsid w:val="435A070C"/>
    <w:rsid w:val="435A4ABE"/>
    <w:rsid w:val="435D1690"/>
    <w:rsid w:val="4364101B"/>
    <w:rsid w:val="437E1DA4"/>
    <w:rsid w:val="438012B5"/>
    <w:rsid w:val="43864E1C"/>
    <w:rsid w:val="438E5463"/>
    <w:rsid w:val="43A32912"/>
    <w:rsid w:val="43A91D93"/>
    <w:rsid w:val="43A91E28"/>
    <w:rsid w:val="43BE423F"/>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41A7"/>
    <w:rsid w:val="44551C28"/>
    <w:rsid w:val="4455528C"/>
    <w:rsid w:val="44577945"/>
    <w:rsid w:val="447553AE"/>
    <w:rsid w:val="447C0277"/>
    <w:rsid w:val="44846A1E"/>
    <w:rsid w:val="44893BAC"/>
    <w:rsid w:val="448B2102"/>
    <w:rsid w:val="448C3949"/>
    <w:rsid w:val="44972678"/>
    <w:rsid w:val="44AB33D8"/>
    <w:rsid w:val="44AB3C3E"/>
    <w:rsid w:val="44AF2870"/>
    <w:rsid w:val="44B66543"/>
    <w:rsid w:val="44BB1E83"/>
    <w:rsid w:val="44C742DB"/>
    <w:rsid w:val="44C766E4"/>
    <w:rsid w:val="44C91BE7"/>
    <w:rsid w:val="44CE18F2"/>
    <w:rsid w:val="44D341BE"/>
    <w:rsid w:val="44ED393A"/>
    <w:rsid w:val="44ED6924"/>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A2ECC"/>
    <w:rsid w:val="459B47D9"/>
    <w:rsid w:val="459C5503"/>
    <w:rsid w:val="45AB5E50"/>
    <w:rsid w:val="45B40F92"/>
    <w:rsid w:val="45CB65BE"/>
    <w:rsid w:val="45CC270F"/>
    <w:rsid w:val="45DD622C"/>
    <w:rsid w:val="45E051CA"/>
    <w:rsid w:val="45E723BF"/>
    <w:rsid w:val="45EA0EAB"/>
    <w:rsid w:val="45EE3F48"/>
    <w:rsid w:val="45F10750"/>
    <w:rsid w:val="45F45E51"/>
    <w:rsid w:val="45F5452A"/>
    <w:rsid w:val="45F60A50"/>
    <w:rsid w:val="45FF6B20"/>
    <w:rsid w:val="46053B6D"/>
    <w:rsid w:val="460F6C8C"/>
    <w:rsid w:val="46125243"/>
    <w:rsid w:val="46142D0C"/>
    <w:rsid w:val="46162231"/>
    <w:rsid w:val="461C0503"/>
    <w:rsid w:val="461E6C96"/>
    <w:rsid w:val="46254E3E"/>
    <w:rsid w:val="46263A53"/>
    <w:rsid w:val="46276E36"/>
    <w:rsid w:val="462875A5"/>
    <w:rsid w:val="462A540F"/>
    <w:rsid w:val="462E6F30"/>
    <w:rsid w:val="46304725"/>
    <w:rsid w:val="464175A3"/>
    <w:rsid w:val="46492FB1"/>
    <w:rsid w:val="464C630B"/>
    <w:rsid w:val="465348A0"/>
    <w:rsid w:val="46546E25"/>
    <w:rsid w:val="465700F4"/>
    <w:rsid w:val="46596E7B"/>
    <w:rsid w:val="46666274"/>
    <w:rsid w:val="46811FCB"/>
    <w:rsid w:val="46843A8F"/>
    <w:rsid w:val="46916FD5"/>
    <w:rsid w:val="46970A81"/>
    <w:rsid w:val="469E62EA"/>
    <w:rsid w:val="46A87AD8"/>
    <w:rsid w:val="46AF31A6"/>
    <w:rsid w:val="46B036BF"/>
    <w:rsid w:val="46BA0169"/>
    <w:rsid w:val="46C816AD"/>
    <w:rsid w:val="46CA4BB0"/>
    <w:rsid w:val="46CC320F"/>
    <w:rsid w:val="46EB0A27"/>
    <w:rsid w:val="46ED0489"/>
    <w:rsid w:val="46F4698D"/>
    <w:rsid w:val="46F633A5"/>
    <w:rsid w:val="46F82F9D"/>
    <w:rsid w:val="46F8576C"/>
    <w:rsid w:val="47073529"/>
    <w:rsid w:val="47282363"/>
    <w:rsid w:val="4730365B"/>
    <w:rsid w:val="47315859"/>
    <w:rsid w:val="47354E9D"/>
    <w:rsid w:val="474918D0"/>
    <w:rsid w:val="474A4E57"/>
    <w:rsid w:val="47577E9B"/>
    <w:rsid w:val="47580F9C"/>
    <w:rsid w:val="47590C4D"/>
    <w:rsid w:val="476110F1"/>
    <w:rsid w:val="47724D80"/>
    <w:rsid w:val="477742C6"/>
    <w:rsid w:val="47810C98"/>
    <w:rsid w:val="4784597B"/>
    <w:rsid w:val="47862D65"/>
    <w:rsid w:val="47873A30"/>
    <w:rsid w:val="478878EC"/>
    <w:rsid w:val="478F13E2"/>
    <w:rsid w:val="47907C4F"/>
    <w:rsid w:val="47924F0A"/>
    <w:rsid w:val="479362DE"/>
    <w:rsid w:val="479D22A7"/>
    <w:rsid w:val="47A11F0E"/>
    <w:rsid w:val="47A32315"/>
    <w:rsid w:val="47A435BA"/>
    <w:rsid w:val="47A710B5"/>
    <w:rsid w:val="47A8679C"/>
    <w:rsid w:val="47D63DE9"/>
    <w:rsid w:val="47D82119"/>
    <w:rsid w:val="47DB79F3"/>
    <w:rsid w:val="47DF46F8"/>
    <w:rsid w:val="47EB5D77"/>
    <w:rsid w:val="47EB6534"/>
    <w:rsid w:val="47F109F0"/>
    <w:rsid w:val="47F545B2"/>
    <w:rsid w:val="47FD24CE"/>
    <w:rsid w:val="47FE4FAD"/>
    <w:rsid w:val="480571D7"/>
    <w:rsid w:val="480E54FB"/>
    <w:rsid w:val="483C5B77"/>
    <w:rsid w:val="4843441C"/>
    <w:rsid w:val="484D05AF"/>
    <w:rsid w:val="485109B8"/>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DF49ED"/>
    <w:rsid w:val="48E87129"/>
    <w:rsid w:val="48F407FD"/>
    <w:rsid w:val="49017376"/>
    <w:rsid w:val="490F7AD2"/>
    <w:rsid w:val="4921106B"/>
    <w:rsid w:val="492F5C5D"/>
    <w:rsid w:val="49302DA0"/>
    <w:rsid w:val="494001B9"/>
    <w:rsid w:val="495A6802"/>
    <w:rsid w:val="495C4DFE"/>
    <w:rsid w:val="495F006C"/>
    <w:rsid w:val="49603601"/>
    <w:rsid w:val="4964688E"/>
    <w:rsid w:val="496838F6"/>
    <w:rsid w:val="49794AF8"/>
    <w:rsid w:val="49865D2D"/>
    <w:rsid w:val="4988711F"/>
    <w:rsid w:val="498A4734"/>
    <w:rsid w:val="498E313A"/>
    <w:rsid w:val="49965FC8"/>
    <w:rsid w:val="49A94FE8"/>
    <w:rsid w:val="49AB0901"/>
    <w:rsid w:val="49BA2D04"/>
    <w:rsid w:val="49CF1CC0"/>
    <w:rsid w:val="49D2118A"/>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965BA"/>
    <w:rsid w:val="4A83695D"/>
    <w:rsid w:val="4A8F5DF4"/>
    <w:rsid w:val="4A985C76"/>
    <w:rsid w:val="4A9C5875"/>
    <w:rsid w:val="4AB61CA3"/>
    <w:rsid w:val="4AC05DF2"/>
    <w:rsid w:val="4AC7118A"/>
    <w:rsid w:val="4ADD46D9"/>
    <w:rsid w:val="4AE37AB9"/>
    <w:rsid w:val="4AEB77F6"/>
    <w:rsid w:val="4AEC108F"/>
    <w:rsid w:val="4AF30DD3"/>
    <w:rsid w:val="4AF41787"/>
    <w:rsid w:val="4B0C697F"/>
    <w:rsid w:val="4B1447FF"/>
    <w:rsid w:val="4B2E3920"/>
    <w:rsid w:val="4B330243"/>
    <w:rsid w:val="4B487C3B"/>
    <w:rsid w:val="4B492FDD"/>
    <w:rsid w:val="4B562725"/>
    <w:rsid w:val="4B5E55E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C81760"/>
    <w:rsid w:val="4BCE75EA"/>
    <w:rsid w:val="4BD71998"/>
    <w:rsid w:val="4BD913EE"/>
    <w:rsid w:val="4BDF3EC5"/>
    <w:rsid w:val="4BE7762B"/>
    <w:rsid w:val="4BEC52E2"/>
    <w:rsid w:val="4BEE5222"/>
    <w:rsid w:val="4BF02011"/>
    <w:rsid w:val="4BF1671B"/>
    <w:rsid w:val="4BF663E2"/>
    <w:rsid w:val="4BFA3233"/>
    <w:rsid w:val="4C01567F"/>
    <w:rsid w:val="4C1304FF"/>
    <w:rsid w:val="4C156449"/>
    <w:rsid w:val="4C1B7C71"/>
    <w:rsid w:val="4C1C63D6"/>
    <w:rsid w:val="4C220B74"/>
    <w:rsid w:val="4C2948CF"/>
    <w:rsid w:val="4C2D52ED"/>
    <w:rsid w:val="4C2E0139"/>
    <w:rsid w:val="4C374666"/>
    <w:rsid w:val="4C426EAB"/>
    <w:rsid w:val="4C4334E7"/>
    <w:rsid w:val="4C51463C"/>
    <w:rsid w:val="4C5F40D3"/>
    <w:rsid w:val="4C6D7CEF"/>
    <w:rsid w:val="4C6F76E5"/>
    <w:rsid w:val="4C7B569E"/>
    <w:rsid w:val="4C8637A6"/>
    <w:rsid w:val="4C864A35"/>
    <w:rsid w:val="4C8720EE"/>
    <w:rsid w:val="4C945680"/>
    <w:rsid w:val="4C9778D3"/>
    <w:rsid w:val="4C9C3B87"/>
    <w:rsid w:val="4C9E5AA1"/>
    <w:rsid w:val="4CA536CC"/>
    <w:rsid w:val="4CA8252C"/>
    <w:rsid w:val="4CB107E4"/>
    <w:rsid w:val="4CB8016E"/>
    <w:rsid w:val="4CBB62EB"/>
    <w:rsid w:val="4CC01CF8"/>
    <w:rsid w:val="4CCF7D94"/>
    <w:rsid w:val="4CD51C9D"/>
    <w:rsid w:val="4CD94E20"/>
    <w:rsid w:val="4CF02636"/>
    <w:rsid w:val="4CF029E6"/>
    <w:rsid w:val="4CFA4A2F"/>
    <w:rsid w:val="4CFE19BB"/>
    <w:rsid w:val="4D023A66"/>
    <w:rsid w:val="4D203016"/>
    <w:rsid w:val="4D207A05"/>
    <w:rsid w:val="4D2B7DC0"/>
    <w:rsid w:val="4D3010B2"/>
    <w:rsid w:val="4D44614C"/>
    <w:rsid w:val="4D521CE7"/>
    <w:rsid w:val="4D53283E"/>
    <w:rsid w:val="4D85403F"/>
    <w:rsid w:val="4D8D144B"/>
    <w:rsid w:val="4D8F7D9A"/>
    <w:rsid w:val="4D9258D3"/>
    <w:rsid w:val="4D9B696C"/>
    <w:rsid w:val="4D9D5EF9"/>
    <w:rsid w:val="4DA150CC"/>
    <w:rsid w:val="4DA71FF5"/>
    <w:rsid w:val="4DA9228F"/>
    <w:rsid w:val="4DA9626A"/>
    <w:rsid w:val="4DAA04AC"/>
    <w:rsid w:val="4DC14E74"/>
    <w:rsid w:val="4DCA5A2D"/>
    <w:rsid w:val="4DD17973"/>
    <w:rsid w:val="4DF92CF9"/>
    <w:rsid w:val="4DFF5FFA"/>
    <w:rsid w:val="4E015C76"/>
    <w:rsid w:val="4E046B0C"/>
    <w:rsid w:val="4E113C23"/>
    <w:rsid w:val="4E213D88"/>
    <w:rsid w:val="4E244E42"/>
    <w:rsid w:val="4E257040"/>
    <w:rsid w:val="4E294664"/>
    <w:rsid w:val="4E310026"/>
    <w:rsid w:val="4E3450DC"/>
    <w:rsid w:val="4E4A17FE"/>
    <w:rsid w:val="4E4A2325"/>
    <w:rsid w:val="4E5B4DBE"/>
    <w:rsid w:val="4E614CA7"/>
    <w:rsid w:val="4E66332D"/>
    <w:rsid w:val="4E6C5236"/>
    <w:rsid w:val="4E707C5F"/>
    <w:rsid w:val="4E7B75FE"/>
    <w:rsid w:val="4E7E7024"/>
    <w:rsid w:val="4E8512CD"/>
    <w:rsid w:val="4E895C6B"/>
    <w:rsid w:val="4E8C398D"/>
    <w:rsid w:val="4E965174"/>
    <w:rsid w:val="4E9D1289"/>
    <w:rsid w:val="4EA91C8B"/>
    <w:rsid w:val="4EB14965"/>
    <w:rsid w:val="4ECC11C2"/>
    <w:rsid w:val="4ECC48FD"/>
    <w:rsid w:val="4ED42F55"/>
    <w:rsid w:val="4EEF61F4"/>
    <w:rsid w:val="4EF03291"/>
    <w:rsid w:val="4EF6519A"/>
    <w:rsid w:val="4EF75D33"/>
    <w:rsid w:val="4EFF121C"/>
    <w:rsid w:val="4F07521B"/>
    <w:rsid w:val="4F080938"/>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B42FCF"/>
    <w:rsid w:val="4FB52EF3"/>
    <w:rsid w:val="4FB777D7"/>
    <w:rsid w:val="4FC36A05"/>
    <w:rsid w:val="4FC7362A"/>
    <w:rsid w:val="4FD56D87"/>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C3614"/>
    <w:rsid w:val="50676C11"/>
    <w:rsid w:val="50682C89"/>
    <w:rsid w:val="50774B6D"/>
    <w:rsid w:val="508C1DCB"/>
    <w:rsid w:val="50BF1B85"/>
    <w:rsid w:val="50C0087A"/>
    <w:rsid w:val="50D03640"/>
    <w:rsid w:val="50E449C6"/>
    <w:rsid w:val="50E475D7"/>
    <w:rsid w:val="50F254B2"/>
    <w:rsid w:val="50FF2EDD"/>
    <w:rsid w:val="51000132"/>
    <w:rsid w:val="511B7FA7"/>
    <w:rsid w:val="51275155"/>
    <w:rsid w:val="51285E95"/>
    <w:rsid w:val="512C17E2"/>
    <w:rsid w:val="51524753"/>
    <w:rsid w:val="515B1740"/>
    <w:rsid w:val="5173296C"/>
    <w:rsid w:val="51744C0F"/>
    <w:rsid w:val="51792CBB"/>
    <w:rsid w:val="51797CE2"/>
    <w:rsid w:val="518112F3"/>
    <w:rsid w:val="51846ACD"/>
    <w:rsid w:val="51854F03"/>
    <w:rsid w:val="5186674D"/>
    <w:rsid w:val="51975E97"/>
    <w:rsid w:val="51A3627A"/>
    <w:rsid w:val="51A71634"/>
    <w:rsid w:val="51B14BED"/>
    <w:rsid w:val="51BA28A2"/>
    <w:rsid w:val="51DC7F9D"/>
    <w:rsid w:val="51E51984"/>
    <w:rsid w:val="51E55C99"/>
    <w:rsid w:val="51F50173"/>
    <w:rsid w:val="51FB343D"/>
    <w:rsid w:val="52044E1D"/>
    <w:rsid w:val="52454216"/>
    <w:rsid w:val="524717A4"/>
    <w:rsid w:val="524A3A31"/>
    <w:rsid w:val="52526454"/>
    <w:rsid w:val="52597DAA"/>
    <w:rsid w:val="525C1CEF"/>
    <w:rsid w:val="525E0C42"/>
    <w:rsid w:val="525F1CB4"/>
    <w:rsid w:val="52717917"/>
    <w:rsid w:val="527350D1"/>
    <w:rsid w:val="527C7F5F"/>
    <w:rsid w:val="528B5767"/>
    <w:rsid w:val="528F7862"/>
    <w:rsid w:val="529408D1"/>
    <w:rsid w:val="52946F74"/>
    <w:rsid w:val="52986A2B"/>
    <w:rsid w:val="529A0AE3"/>
    <w:rsid w:val="52AF2D38"/>
    <w:rsid w:val="52BE4B87"/>
    <w:rsid w:val="52C1320F"/>
    <w:rsid w:val="52C316B0"/>
    <w:rsid w:val="52C73313"/>
    <w:rsid w:val="52D33625"/>
    <w:rsid w:val="52D962FB"/>
    <w:rsid w:val="52DB5362"/>
    <w:rsid w:val="52E223BF"/>
    <w:rsid w:val="52E90593"/>
    <w:rsid w:val="52F543A6"/>
    <w:rsid w:val="530D0D17"/>
    <w:rsid w:val="531A7922"/>
    <w:rsid w:val="532841B4"/>
    <w:rsid w:val="532E16F7"/>
    <w:rsid w:val="53411573"/>
    <w:rsid w:val="5344009F"/>
    <w:rsid w:val="536B08B7"/>
    <w:rsid w:val="536B679F"/>
    <w:rsid w:val="537012AB"/>
    <w:rsid w:val="537A7588"/>
    <w:rsid w:val="5381780D"/>
    <w:rsid w:val="538752B5"/>
    <w:rsid w:val="539B603E"/>
    <w:rsid w:val="53A279AB"/>
    <w:rsid w:val="53A3105E"/>
    <w:rsid w:val="53B4015C"/>
    <w:rsid w:val="53BD686C"/>
    <w:rsid w:val="53C64B93"/>
    <w:rsid w:val="53CA0F06"/>
    <w:rsid w:val="53D855EF"/>
    <w:rsid w:val="53F6524D"/>
    <w:rsid w:val="54057172"/>
    <w:rsid w:val="540754E7"/>
    <w:rsid w:val="5409646C"/>
    <w:rsid w:val="541C5A99"/>
    <w:rsid w:val="5428418F"/>
    <w:rsid w:val="543350B2"/>
    <w:rsid w:val="544259AB"/>
    <w:rsid w:val="54461FC5"/>
    <w:rsid w:val="54480B4C"/>
    <w:rsid w:val="545952F2"/>
    <w:rsid w:val="545E1779"/>
    <w:rsid w:val="54691D09"/>
    <w:rsid w:val="546E34AA"/>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2E3233"/>
    <w:rsid w:val="554553E5"/>
    <w:rsid w:val="55460DE4"/>
    <w:rsid w:val="55481377"/>
    <w:rsid w:val="55615F59"/>
    <w:rsid w:val="5568752D"/>
    <w:rsid w:val="55745A4A"/>
    <w:rsid w:val="55762246"/>
    <w:rsid w:val="5576730D"/>
    <w:rsid w:val="55966EF8"/>
    <w:rsid w:val="55992B5C"/>
    <w:rsid w:val="55A92695"/>
    <w:rsid w:val="55B1164D"/>
    <w:rsid w:val="55B31A9D"/>
    <w:rsid w:val="55B40974"/>
    <w:rsid w:val="55B4735E"/>
    <w:rsid w:val="55B549BA"/>
    <w:rsid w:val="55B764F7"/>
    <w:rsid w:val="55BB221D"/>
    <w:rsid w:val="55BD69E6"/>
    <w:rsid w:val="55D32EED"/>
    <w:rsid w:val="55E95835"/>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A24B9"/>
    <w:rsid w:val="56612B28"/>
    <w:rsid w:val="56656122"/>
    <w:rsid w:val="566C5C56"/>
    <w:rsid w:val="566E1159"/>
    <w:rsid w:val="56701367"/>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ED38C9"/>
    <w:rsid w:val="56ED4D2C"/>
    <w:rsid w:val="56ED52AB"/>
    <w:rsid w:val="56F50139"/>
    <w:rsid w:val="57055AD1"/>
    <w:rsid w:val="570A485B"/>
    <w:rsid w:val="57194E75"/>
    <w:rsid w:val="5724407D"/>
    <w:rsid w:val="574349A4"/>
    <w:rsid w:val="574D7300"/>
    <w:rsid w:val="575B54E2"/>
    <w:rsid w:val="575C3B41"/>
    <w:rsid w:val="576461D9"/>
    <w:rsid w:val="57780712"/>
    <w:rsid w:val="578A642E"/>
    <w:rsid w:val="57995BE5"/>
    <w:rsid w:val="579F72CD"/>
    <w:rsid w:val="57A42087"/>
    <w:rsid w:val="57A9565E"/>
    <w:rsid w:val="57AC7A64"/>
    <w:rsid w:val="57B30986"/>
    <w:rsid w:val="57B55DAB"/>
    <w:rsid w:val="57B569C0"/>
    <w:rsid w:val="57B93204"/>
    <w:rsid w:val="57BB6BFD"/>
    <w:rsid w:val="57C16588"/>
    <w:rsid w:val="57CC711C"/>
    <w:rsid w:val="57CE4E71"/>
    <w:rsid w:val="57D421C2"/>
    <w:rsid w:val="57E3283E"/>
    <w:rsid w:val="57EA5590"/>
    <w:rsid w:val="57FF4799"/>
    <w:rsid w:val="58190752"/>
    <w:rsid w:val="581F2185"/>
    <w:rsid w:val="5821545B"/>
    <w:rsid w:val="582675C8"/>
    <w:rsid w:val="582770EB"/>
    <w:rsid w:val="583E5C20"/>
    <w:rsid w:val="583F50BD"/>
    <w:rsid w:val="58487AE6"/>
    <w:rsid w:val="58493723"/>
    <w:rsid w:val="58530075"/>
    <w:rsid w:val="585844FD"/>
    <w:rsid w:val="585C0E40"/>
    <w:rsid w:val="586628D4"/>
    <w:rsid w:val="586E1F24"/>
    <w:rsid w:val="586F4514"/>
    <w:rsid w:val="58712EA8"/>
    <w:rsid w:val="589571E2"/>
    <w:rsid w:val="5899092D"/>
    <w:rsid w:val="58A53A58"/>
    <w:rsid w:val="58B24108"/>
    <w:rsid w:val="58C17300"/>
    <w:rsid w:val="58C3742F"/>
    <w:rsid w:val="58D0053D"/>
    <w:rsid w:val="58EE32BB"/>
    <w:rsid w:val="58F34EDC"/>
    <w:rsid w:val="58F62669"/>
    <w:rsid w:val="58FF7636"/>
    <w:rsid w:val="59001493"/>
    <w:rsid w:val="590E1AE5"/>
    <w:rsid w:val="590E661B"/>
    <w:rsid w:val="590F1AAD"/>
    <w:rsid w:val="591070E2"/>
    <w:rsid w:val="59176EB9"/>
    <w:rsid w:val="591923BD"/>
    <w:rsid w:val="591A203C"/>
    <w:rsid w:val="591B271B"/>
    <w:rsid w:val="591B762A"/>
    <w:rsid w:val="5920611F"/>
    <w:rsid w:val="593947E3"/>
    <w:rsid w:val="594444F3"/>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B3236"/>
    <w:rsid w:val="59D27D0B"/>
    <w:rsid w:val="59D76997"/>
    <w:rsid w:val="59DA647E"/>
    <w:rsid w:val="59E41216"/>
    <w:rsid w:val="59E81184"/>
    <w:rsid w:val="59FA6A84"/>
    <w:rsid w:val="59FC1724"/>
    <w:rsid w:val="5A1225D4"/>
    <w:rsid w:val="5A171EB1"/>
    <w:rsid w:val="5A1A79E1"/>
    <w:rsid w:val="5A1E1CAC"/>
    <w:rsid w:val="5A1E40C3"/>
    <w:rsid w:val="5A325088"/>
    <w:rsid w:val="5A454C62"/>
    <w:rsid w:val="5A46457E"/>
    <w:rsid w:val="5A4762DE"/>
    <w:rsid w:val="5A556E1A"/>
    <w:rsid w:val="5A61158B"/>
    <w:rsid w:val="5A612353"/>
    <w:rsid w:val="5A613550"/>
    <w:rsid w:val="5A66425D"/>
    <w:rsid w:val="5A671CDE"/>
    <w:rsid w:val="5A680140"/>
    <w:rsid w:val="5A6E3CF5"/>
    <w:rsid w:val="5A6F6678"/>
    <w:rsid w:val="5A76571C"/>
    <w:rsid w:val="5A7A55ED"/>
    <w:rsid w:val="5A8218B6"/>
    <w:rsid w:val="5A876343"/>
    <w:rsid w:val="5A9802AF"/>
    <w:rsid w:val="5A9B1234"/>
    <w:rsid w:val="5AB02BF1"/>
    <w:rsid w:val="5AB13CD8"/>
    <w:rsid w:val="5ADC509F"/>
    <w:rsid w:val="5AEB3CF1"/>
    <w:rsid w:val="5AEC1F37"/>
    <w:rsid w:val="5AFB6928"/>
    <w:rsid w:val="5B0C6070"/>
    <w:rsid w:val="5B0E7A56"/>
    <w:rsid w:val="5B3249B7"/>
    <w:rsid w:val="5B4558EE"/>
    <w:rsid w:val="5B4F6759"/>
    <w:rsid w:val="5B575963"/>
    <w:rsid w:val="5B5F2276"/>
    <w:rsid w:val="5B60481D"/>
    <w:rsid w:val="5B77571F"/>
    <w:rsid w:val="5B7B5AF5"/>
    <w:rsid w:val="5B7D50AA"/>
    <w:rsid w:val="5B9B5EF1"/>
    <w:rsid w:val="5BA65531"/>
    <w:rsid w:val="5BAB48F4"/>
    <w:rsid w:val="5BBE5027"/>
    <w:rsid w:val="5BC26603"/>
    <w:rsid w:val="5BD11960"/>
    <w:rsid w:val="5BE302D1"/>
    <w:rsid w:val="5BE43388"/>
    <w:rsid w:val="5BE85354"/>
    <w:rsid w:val="5BF92FF2"/>
    <w:rsid w:val="5C032D84"/>
    <w:rsid w:val="5C0702AD"/>
    <w:rsid w:val="5C0F1831"/>
    <w:rsid w:val="5C1716E2"/>
    <w:rsid w:val="5C1C61C8"/>
    <w:rsid w:val="5C2E0FC6"/>
    <w:rsid w:val="5C2F352C"/>
    <w:rsid w:val="5C3F5C68"/>
    <w:rsid w:val="5C4415EF"/>
    <w:rsid w:val="5C471E62"/>
    <w:rsid w:val="5C477882"/>
    <w:rsid w:val="5C486BA1"/>
    <w:rsid w:val="5C671943"/>
    <w:rsid w:val="5C695A33"/>
    <w:rsid w:val="5C6C2988"/>
    <w:rsid w:val="5C8432AF"/>
    <w:rsid w:val="5C863F23"/>
    <w:rsid w:val="5C924E81"/>
    <w:rsid w:val="5CA60F7A"/>
    <w:rsid w:val="5CA97ED8"/>
    <w:rsid w:val="5CBA2066"/>
    <w:rsid w:val="5CBF6B48"/>
    <w:rsid w:val="5CCC6400"/>
    <w:rsid w:val="5CDE2E5E"/>
    <w:rsid w:val="5CE65575"/>
    <w:rsid w:val="5CF716F1"/>
    <w:rsid w:val="5CFC04B2"/>
    <w:rsid w:val="5CFE29DB"/>
    <w:rsid w:val="5CFF3025"/>
    <w:rsid w:val="5D0F654A"/>
    <w:rsid w:val="5D1400E2"/>
    <w:rsid w:val="5D140B48"/>
    <w:rsid w:val="5D194186"/>
    <w:rsid w:val="5D203D40"/>
    <w:rsid w:val="5D261BE2"/>
    <w:rsid w:val="5D3D5F84"/>
    <w:rsid w:val="5D404A5F"/>
    <w:rsid w:val="5D666BA5"/>
    <w:rsid w:val="5D724260"/>
    <w:rsid w:val="5D7E0072"/>
    <w:rsid w:val="5D8E3F91"/>
    <w:rsid w:val="5D8F4C98"/>
    <w:rsid w:val="5D912E40"/>
    <w:rsid w:val="5DBB7E49"/>
    <w:rsid w:val="5DC5356A"/>
    <w:rsid w:val="5DCF5904"/>
    <w:rsid w:val="5DD83C04"/>
    <w:rsid w:val="5DE12D83"/>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EA6A7B"/>
    <w:rsid w:val="5EF35656"/>
    <w:rsid w:val="5EFC730F"/>
    <w:rsid w:val="5EFE04E0"/>
    <w:rsid w:val="5F0451A2"/>
    <w:rsid w:val="5F046BCF"/>
    <w:rsid w:val="5F0F298F"/>
    <w:rsid w:val="5F214EA0"/>
    <w:rsid w:val="5F2B57AF"/>
    <w:rsid w:val="5F3657B2"/>
    <w:rsid w:val="5F3720D4"/>
    <w:rsid w:val="5F4131D6"/>
    <w:rsid w:val="5F456359"/>
    <w:rsid w:val="5F4D40C1"/>
    <w:rsid w:val="5F51056D"/>
    <w:rsid w:val="5F554693"/>
    <w:rsid w:val="5F59087D"/>
    <w:rsid w:val="5F5E09A5"/>
    <w:rsid w:val="5F60684F"/>
    <w:rsid w:val="5F620CC4"/>
    <w:rsid w:val="5F677568"/>
    <w:rsid w:val="5F733BFA"/>
    <w:rsid w:val="5F8A06EE"/>
    <w:rsid w:val="5F8B6ACE"/>
    <w:rsid w:val="5FB05A09"/>
    <w:rsid w:val="5FB14123"/>
    <w:rsid w:val="5FB45C89"/>
    <w:rsid w:val="5FBA395F"/>
    <w:rsid w:val="5FC666B6"/>
    <w:rsid w:val="5FD96BCD"/>
    <w:rsid w:val="5FDA5E94"/>
    <w:rsid w:val="5FE22D60"/>
    <w:rsid w:val="5FEA2837"/>
    <w:rsid w:val="5FEC366F"/>
    <w:rsid w:val="5FFF5224"/>
    <w:rsid w:val="600132ED"/>
    <w:rsid w:val="60057C1D"/>
    <w:rsid w:val="60094E5C"/>
    <w:rsid w:val="600F12A5"/>
    <w:rsid w:val="600F70A7"/>
    <w:rsid w:val="601502C3"/>
    <w:rsid w:val="6027474E"/>
    <w:rsid w:val="60326269"/>
    <w:rsid w:val="604441A8"/>
    <w:rsid w:val="604553D8"/>
    <w:rsid w:val="60457581"/>
    <w:rsid w:val="60545FDB"/>
    <w:rsid w:val="60553510"/>
    <w:rsid w:val="605A4896"/>
    <w:rsid w:val="605D7869"/>
    <w:rsid w:val="606409F1"/>
    <w:rsid w:val="606F38F4"/>
    <w:rsid w:val="60783253"/>
    <w:rsid w:val="6087332C"/>
    <w:rsid w:val="60890F6F"/>
    <w:rsid w:val="608D3CE6"/>
    <w:rsid w:val="608F0CD7"/>
    <w:rsid w:val="608F2E78"/>
    <w:rsid w:val="60903845"/>
    <w:rsid w:val="609B2C68"/>
    <w:rsid w:val="609B5574"/>
    <w:rsid w:val="609D5B65"/>
    <w:rsid w:val="60A633A3"/>
    <w:rsid w:val="60AF79B3"/>
    <w:rsid w:val="60B42061"/>
    <w:rsid w:val="60B430B8"/>
    <w:rsid w:val="60B4686A"/>
    <w:rsid w:val="60B630F3"/>
    <w:rsid w:val="60B71EB3"/>
    <w:rsid w:val="60C223CE"/>
    <w:rsid w:val="60C26A4B"/>
    <w:rsid w:val="60CB1A8B"/>
    <w:rsid w:val="60D1524B"/>
    <w:rsid w:val="60D63D23"/>
    <w:rsid w:val="60D6574E"/>
    <w:rsid w:val="60E857D1"/>
    <w:rsid w:val="60EB5C13"/>
    <w:rsid w:val="60EC2CBA"/>
    <w:rsid w:val="60EF3389"/>
    <w:rsid w:val="60F054A3"/>
    <w:rsid w:val="6106406B"/>
    <w:rsid w:val="610750C1"/>
    <w:rsid w:val="61254671"/>
    <w:rsid w:val="612620F2"/>
    <w:rsid w:val="612B2AB2"/>
    <w:rsid w:val="61451322"/>
    <w:rsid w:val="614D1512"/>
    <w:rsid w:val="614D5D11"/>
    <w:rsid w:val="6155015B"/>
    <w:rsid w:val="615D137E"/>
    <w:rsid w:val="616913AB"/>
    <w:rsid w:val="616A0BCB"/>
    <w:rsid w:val="6170126D"/>
    <w:rsid w:val="617414DF"/>
    <w:rsid w:val="617B75FE"/>
    <w:rsid w:val="618A1E17"/>
    <w:rsid w:val="61942BFF"/>
    <w:rsid w:val="61955A2F"/>
    <w:rsid w:val="619931C4"/>
    <w:rsid w:val="61A01626"/>
    <w:rsid w:val="61B009D1"/>
    <w:rsid w:val="61B34454"/>
    <w:rsid w:val="61B81661"/>
    <w:rsid w:val="61BF2475"/>
    <w:rsid w:val="61C955FD"/>
    <w:rsid w:val="61CC2D28"/>
    <w:rsid w:val="61D25C9C"/>
    <w:rsid w:val="61E0665A"/>
    <w:rsid w:val="61E16FA2"/>
    <w:rsid w:val="61EA56B3"/>
    <w:rsid w:val="61EE40B9"/>
    <w:rsid w:val="61F20130"/>
    <w:rsid w:val="620307DC"/>
    <w:rsid w:val="62095E3C"/>
    <w:rsid w:val="6212094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F4555"/>
    <w:rsid w:val="62C21B13"/>
    <w:rsid w:val="62C50343"/>
    <w:rsid w:val="62CA0D0A"/>
    <w:rsid w:val="62CF33A7"/>
    <w:rsid w:val="62E22CD4"/>
    <w:rsid w:val="62FA4629"/>
    <w:rsid w:val="62FD3200"/>
    <w:rsid w:val="63024214"/>
    <w:rsid w:val="630A4755"/>
    <w:rsid w:val="6310767B"/>
    <w:rsid w:val="63143D77"/>
    <w:rsid w:val="631B488C"/>
    <w:rsid w:val="631C34A7"/>
    <w:rsid w:val="63327CCE"/>
    <w:rsid w:val="63337E85"/>
    <w:rsid w:val="63423AE9"/>
    <w:rsid w:val="63436BE9"/>
    <w:rsid w:val="63501871"/>
    <w:rsid w:val="635902CD"/>
    <w:rsid w:val="63600718"/>
    <w:rsid w:val="636448F7"/>
    <w:rsid w:val="637F3871"/>
    <w:rsid w:val="637F7D4A"/>
    <w:rsid w:val="6386572E"/>
    <w:rsid w:val="63896059"/>
    <w:rsid w:val="63CA6C14"/>
    <w:rsid w:val="63CE25BF"/>
    <w:rsid w:val="63DA1C8E"/>
    <w:rsid w:val="63E6151F"/>
    <w:rsid w:val="63EA067C"/>
    <w:rsid w:val="63ED1601"/>
    <w:rsid w:val="63F41800"/>
    <w:rsid w:val="64050300"/>
    <w:rsid w:val="640F2D06"/>
    <w:rsid w:val="641626FC"/>
    <w:rsid w:val="64216D80"/>
    <w:rsid w:val="642C2586"/>
    <w:rsid w:val="642E46BB"/>
    <w:rsid w:val="643E4883"/>
    <w:rsid w:val="644E03A0"/>
    <w:rsid w:val="64570EDA"/>
    <w:rsid w:val="64586863"/>
    <w:rsid w:val="645E7196"/>
    <w:rsid w:val="64602BDC"/>
    <w:rsid w:val="64690054"/>
    <w:rsid w:val="64703B3C"/>
    <w:rsid w:val="64706BBE"/>
    <w:rsid w:val="649B12CD"/>
    <w:rsid w:val="649C04A0"/>
    <w:rsid w:val="649C1DFE"/>
    <w:rsid w:val="64A123A9"/>
    <w:rsid w:val="64A947EF"/>
    <w:rsid w:val="64AE02D9"/>
    <w:rsid w:val="64B06866"/>
    <w:rsid w:val="64B6739B"/>
    <w:rsid w:val="64B8674B"/>
    <w:rsid w:val="64C60996"/>
    <w:rsid w:val="64C610C5"/>
    <w:rsid w:val="64CF1BF3"/>
    <w:rsid w:val="64D07675"/>
    <w:rsid w:val="64D811FE"/>
    <w:rsid w:val="64D91611"/>
    <w:rsid w:val="64E46521"/>
    <w:rsid w:val="64F03EAD"/>
    <w:rsid w:val="64F2095B"/>
    <w:rsid w:val="650B79D4"/>
    <w:rsid w:val="650C1A58"/>
    <w:rsid w:val="65135B60"/>
    <w:rsid w:val="651B09EE"/>
    <w:rsid w:val="652A1008"/>
    <w:rsid w:val="652A6885"/>
    <w:rsid w:val="652B262D"/>
    <w:rsid w:val="652B6A8A"/>
    <w:rsid w:val="652D418B"/>
    <w:rsid w:val="6543159A"/>
    <w:rsid w:val="65462238"/>
    <w:rsid w:val="65665DD5"/>
    <w:rsid w:val="65670505"/>
    <w:rsid w:val="656D50AE"/>
    <w:rsid w:val="656D639A"/>
    <w:rsid w:val="65706D1E"/>
    <w:rsid w:val="65827499"/>
    <w:rsid w:val="658A3829"/>
    <w:rsid w:val="658E7B9D"/>
    <w:rsid w:val="65923EB0"/>
    <w:rsid w:val="65A16A49"/>
    <w:rsid w:val="65A550CF"/>
    <w:rsid w:val="65AA0B75"/>
    <w:rsid w:val="65AA6E12"/>
    <w:rsid w:val="65AF3ECF"/>
    <w:rsid w:val="65B04B10"/>
    <w:rsid w:val="65D72426"/>
    <w:rsid w:val="65DD48D9"/>
    <w:rsid w:val="65F93B87"/>
    <w:rsid w:val="66023510"/>
    <w:rsid w:val="661474D7"/>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D2A44"/>
    <w:rsid w:val="66F1052B"/>
    <w:rsid w:val="66F96CC1"/>
    <w:rsid w:val="6717075E"/>
    <w:rsid w:val="6720488D"/>
    <w:rsid w:val="6729654F"/>
    <w:rsid w:val="673059BF"/>
    <w:rsid w:val="673E6FCE"/>
    <w:rsid w:val="67444CBD"/>
    <w:rsid w:val="67622F37"/>
    <w:rsid w:val="6762412B"/>
    <w:rsid w:val="6775534A"/>
    <w:rsid w:val="677862CF"/>
    <w:rsid w:val="677C6FB7"/>
    <w:rsid w:val="67891DEC"/>
    <w:rsid w:val="679272CF"/>
    <w:rsid w:val="6798462F"/>
    <w:rsid w:val="67A63BCC"/>
    <w:rsid w:val="67A858DB"/>
    <w:rsid w:val="67AC35CC"/>
    <w:rsid w:val="67AF15B1"/>
    <w:rsid w:val="67B06428"/>
    <w:rsid w:val="67B65CC6"/>
    <w:rsid w:val="67C87352"/>
    <w:rsid w:val="67D853EE"/>
    <w:rsid w:val="67E222E0"/>
    <w:rsid w:val="67E625EB"/>
    <w:rsid w:val="67EC307A"/>
    <w:rsid w:val="67EF4739"/>
    <w:rsid w:val="67F25F98"/>
    <w:rsid w:val="67F30197"/>
    <w:rsid w:val="67FC37A4"/>
    <w:rsid w:val="67FE4166"/>
    <w:rsid w:val="68070F5D"/>
    <w:rsid w:val="680B583D"/>
    <w:rsid w:val="681810C8"/>
    <w:rsid w:val="682048A9"/>
    <w:rsid w:val="6825574C"/>
    <w:rsid w:val="683B7310"/>
    <w:rsid w:val="68425CDE"/>
    <w:rsid w:val="684B1EAA"/>
    <w:rsid w:val="68500343"/>
    <w:rsid w:val="68504BA4"/>
    <w:rsid w:val="68634CCB"/>
    <w:rsid w:val="68637551"/>
    <w:rsid w:val="686E7AE0"/>
    <w:rsid w:val="686F0DE5"/>
    <w:rsid w:val="68780D60"/>
    <w:rsid w:val="68807533"/>
    <w:rsid w:val="68814582"/>
    <w:rsid w:val="68815C43"/>
    <w:rsid w:val="68863D3E"/>
    <w:rsid w:val="6893111D"/>
    <w:rsid w:val="68953223"/>
    <w:rsid w:val="68AE7313"/>
    <w:rsid w:val="68B417F3"/>
    <w:rsid w:val="68C401C3"/>
    <w:rsid w:val="68C804A3"/>
    <w:rsid w:val="68EE7135"/>
    <w:rsid w:val="691163F0"/>
    <w:rsid w:val="6912549A"/>
    <w:rsid w:val="691609C9"/>
    <w:rsid w:val="6924760F"/>
    <w:rsid w:val="692F783B"/>
    <w:rsid w:val="6936532B"/>
    <w:rsid w:val="694D7C58"/>
    <w:rsid w:val="69580D63"/>
    <w:rsid w:val="69597F0F"/>
    <w:rsid w:val="696467EE"/>
    <w:rsid w:val="698066A4"/>
    <w:rsid w:val="69840249"/>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F2A90"/>
    <w:rsid w:val="6A1F72B7"/>
    <w:rsid w:val="6A2F04CF"/>
    <w:rsid w:val="6A5012FB"/>
    <w:rsid w:val="6A5E4BD0"/>
    <w:rsid w:val="6A68311E"/>
    <w:rsid w:val="6A6869A1"/>
    <w:rsid w:val="6A6F632C"/>
    <w:rsid w:val="6A763715"/>
    <w:rsid w:val="6A834FCD"/>
    <w:rsid w:val="6A8C2C9D"/>
    <w:rsid w:val="6A9134D5"/>
    <w:rsid w:val="6A9C3978"/>
    <w:rsid w:val="6AA9740B"/>
    <w:rsid w:val="6AB06789"/>
    <w:rsid w:val="6AB3504A"/>
    <w:rsid w:val="6AD87FA3"/>
    <w:rsid w:val="6AEB34A6"/>
    <w:rsid w:val="6B0420A3"/>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91745D"/>
    <w:rsid w:val="6B917708"/>
    <w:rsid w:val="6B992596"/>
    <w:rsid w:val="6BAA6221"/>
    <w:rsid w:val="6BAB7FC7"/>
    <w:rsid w:val="6BB256BF"/>
    <w:rsid w:val="6BB457E7"/>
    <w:rsid w:val="6BC61B65"/>
    <w:rsid w:val="6BCE0CC9"/>
    <w:rsid w:val="6BEC0EBF"/>
    <w:rsid w:val="6C0A6F29"/>
    <w:rsid w:val="6C1D4D6E"/>
    <w:rsid w:val="6C397257"/>
    <w:rsid w:val="6C5042C3"/>
    <w:rsid w:val="6C734478"/>
    <w:rsid w:val="6C7468C6"/>
    <w:rsid w:val="6C797711"/>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D748E"/>
    <w:rsid w:val="6D301A35"/>
    <w:rsid w:val="6D3617DF"/>
    <w:rsid w:val="6D394D66"/>
    <w:rsid w:val="6D3F61F3"/>
    <w:rsid w:val="6D437DBD"/>
    <w:rsid w:val="6D450054"/>
    <w:rsid w:val="6D465AD5"/>
    <w:rsid w:val="6D4B20D4"/>
    <w:rsid w:val="6D4E7B40"/>
    <w:rsid w:val="6D566F0F"/>
    <w:rsid w:val="6D581273"/>
    <w:rsid w:val="6D602485"/>
    <w:rsid w:val="6D6F3412"/>
    <w:rsid w:val="6D76249C"/>
    <w:rsid w:val="6D7D0763"/>
    <w:rsid w:val="6D836F72"/>
    <w:rsid w:val="6D894D24"/>
    <w:rsid w:val="6D904204"/>
    <w:rsid w:val="6DBB5F10"/>
    <w:rsid w:val="6DBC508B"/>
    <w:rsid w:val="6DC41DD2"/>
    <w:rsid w:val="6DCC7033"/>
    <w:rsid w:val="6DCE6CB3"/>
    <w:rsid w:val="6DDA4029"/>
    <w:rsid w:val="6DDC3A4A"/>
    <w:rsid w:val="6DDE3DAF"/>
    <w:rsid w:val="6DE10A9E"/>
    <w:rsid w:val="6DE229D6"/>
    <w:rsid w:val="6DE731FD"/>
    <w:rsid w:val="6DE74169"/>
    <w:rsid w:val="6DF8036A"/>
    <w:rsid w:val="6E023C8A"/>
    <w:rsid w:val="6E073935"/>
    <w:rsid w:val="6E1040CA"/>
    <w:rsid w:val="6E2860C8"/>
    <w:rsid w:val="6E2A03C1"/>
    <w:rsid w:val="6E3241BE"/>
    <w:rsid w:val="6E370B72"/>
    <w:rsid w:val="6E3A103C"/>
    <w:rsid w:val="6E475B2E"/>
    <w:rsid w:val="6E496CB5"/>
    <w:rsid w:val="6E584699"/>
    <w:rsid w:val="6E5C26CF"/>
    <w:rsid w:val="6E624FA8"/>
    <w:rsid w:val="6E6457D0"/>
    <w:rsid w:val="6E6E0DBB"/>
    <w:rsid w:val="6E774C75"/>
    <w:rsid w:val="6E7838C8"/>
    <w:rsid w:val="6E85086A"/>
    <w:rsid w:val="6EAF72DE"/>
    <w:rsid w:val="6EB96C08"/>
    <w:rsid w:val="6EB97A9D"/>
    <w:rsid w:val="6EBE570F"/>
    <w:rsid w:val="6EC45F38"/>
    <w:rsid w:val="6ECE3F0B"/>
    <w:rsid w:val="6EDF4571"/>
    <w:rsid w:val="6EE35BC6"/>
    <w:rsid w:val="6EE97682"/>
    <w:rsid w:val="6EF10A90"/>
    <w:rsid w:val="6EF36A95"/>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5013AD"/>
    <w:rsid w:val="6F5668A1"/>
    <w:rsid w:val="6F5A1CBD"/>
    <w:rsid w:val="6F666DD4"/>
    <w:rsid w:val="6F723A22"/>
    <w:rsid w:val="6F750FDA"/>
    <w:rsid w:val="6F7A591A"/>
    <w:rsid w:val="6F7E0D04"/>
    <w:rsid w:val="6F811BD9"/>
    <w:rsid w:val="6F8145E3"/>
    <w:rsid w:val="6F8275FE"/>
    <w:rsid w:val="6F9C1D1C"/>
    <w:rsid w:val="6FA220B1"/>
    <w:rsid w:val="6FD51606"/>
    <w:rsid w:val="6FD83DCC"/>
    <w:rsid w:val="6FF3443A"/>
    <w:rsid w:val="6FFF1868"/>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766CE"/>
    <w:rsid w:val="70910C05"/>
    <w:rsid w:val="709D5E85"/>
    <w:rsid w:val="70A257D2"/>
    <w:rsid w:val="70BB05FF"/>
    <w:rsid w:val="70D442DE"/>
    <w:rsid w:val="70DB7CA6"/>
    <w:rsid w:val="70DB7E8A"/>
    <w:rsid w:val="70E154E6"/>
    <w:rsid w:val="70EE3ABE"/>
    <w:rsid w:val="70FA444A"/>
    <w:rsid w:val="70FB13E9"/>
    <w:rsid w:val="7110138E"/>
    <w:rsid w:val="711405DF"/>
    <w:rsid w:val="713219C2"/>
    <w:rsid w:val="71361624"/>
    <w:rsid w:val="713E0BD9"/>
    <w:rsid w:val="714B246D"/>
    <w:rsid w:val="715D0E38"/>
    <w:rsid w:val="715D148D"/>
    <w:rsid w:val="715F4C2D"/>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D07E88"/>
    <w:rsid w:val="71D5087F"/>
    <w:rsid w:val="71E77C9E"/>
    <w:rsid w:val="71E91071"/>
    <w:rsid w:val="720D7FAC"/>
    <w:rsid w:val="72125D04"/>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C4633"/>
    <w:rsid w:val="72BD4D32"/>
    <w:rsid w:val="72BF60CA"/>
    <w:rsid w:val="72C267D6"/>
    <w:rsid w:val="72C806E0"/>
    <w:rsid w:val="72CE7313"/>
    <w:rsid w:val="72E32678"/>
    <w:rsid w:val="72F13331"/>
    <w:rsid w:val="72F41282"/>
    <w:rsid w:val="72F43AB5"/>
    <w:rsid w:val="72FD78B5"/>
    <w:rsid w:val="7300561D"/>
    <w:rsid w:val="7303633C"/>
    <w:rsid w:val="73085B32"/>
    <w:rsid w:val="73206C07"/>
    <w:rsid w:val="732D6EA8"/>
    <w:rsid w:val="733D0D32"/>
    <w:rsid w:val="733E3114"/>
    <w:rsid w:val="734135F9"/>
    <w:rsid w:val="73441CC9"/>
    <w:rsid w:val="73470BBF"/>
    <w:rsid w:val="735E2B1F"/>
    <w:rsid w:val="73620C76"/>
    <w:rsid w:val="73784923"/>
    <w:rsid w:val="7388529A"/>
    <w:rsid w:val="73890773"/>
    <w:rsid w:val="738C041D"/>
    <w:rsid w:val="73910253"/>
    <w:rsid w:val="739263A6"/>
    <w:rsid w:val="739A19F7"/>
    <w:rsid w:val="73A03D5A"/>
    <w:rsid w:val="73A242ED"/>
    <w:rsid w:val="73B1065D"/>
    <w:rsid w:val="73B76769"/>
    <w:rsid w:val="73BB0F6D"/>
    <w:rsid w:val="73CD7E91"/>
    <w:rsid w:val="73D411F1"/>
    <w:rsid w:val="73D9424B"/>
    <w:rsid w:val="73D95A45"/>
    <w:rsid w:val="73DC4278"/>
    <w:rsid w:val="73E133AB"/>
    <w:rsid w:val="73F7756C"/>
    <w:rsid w:val="74046401"/>
    <w:rsid w:val="74155ABC"/>
    <w:rsid w:val="74173885"/>
    <w:rsid w:val="741F359D"/>
    <w:rsid w:val="742C1494"/>
    <w:rsid w:val="742D2163"/>
    <w:rsid w:val="7435388C"/>
    <w:rsid w:val="7435737E"/>
    <w:rsid w:val="74357542"/>
    <w:rsid w:val="743876ED"/>
    <w:rsid w:val="743A72BC"/>
    <w:rsid w:val="74461562"/>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50A4112"/>
    <w:rsid w:val="750C2E98"/>
    <w:rsid w:val="7524053F"/>
    <w:rsid w:val="753226E5"/>
    <w:rsid w:val="753811DE"/>
    <w:rsid w:val="753F32E7"/>
    <w:rsid w:val="754A0851"/>
    <w:rsid w:val="755A7620"/>
    <w:rsid w:val="755E741F"/>
    <w:rsid w:val="75626EA8"/>
    <w:rsid w:val="75784746"/>
    <w:rsid w:val="757C7B44"/>
    <w:rsid w:val="75897895"/>
    <w:rsid w:val="758E216C"/>
    <w:rsid w:val="759871F9"/>
    <w:rsid w:val="75997DE1"/>
    <w:rsid w:val="759A0161"/>
    <w:rsid w:val="759C3680"/>
    <w:rsid w:val="759E4D19"/>
    <w:rsid w:val="75A25597"/>
    <w:rsid w:val="75B66A43"/>
    <w:rsid w:val="75BB5B07"/>
    <w:rsid w:val="75BE67D4"/>
    <w:rsid w:val="75C2004C"/>
    <w:rsid w:val="75C27143"/>
    <w:rsid w:val="75C759C1"/>
    <w:rsid w:val="75C8039D"/>
    <w:rsid w:val="75D77FE2"/>
    <w:rsid w:val="75D831EF"/>
    <w:rsid w:val="75DE796D"/>
    <w:rsid w:val="75E110E2"/>
    <w:rsid w:val="75E8027D"/>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428FA"/>
    <w:rsid w:val="7652792C"/>
    <w:rsid w:val="76554CC3"/>
    <w:rsid w:val="766A0E85"/>
    <w:rsid w:val="7670466E"/>
    <w:rsid w:val="7670607A"/>
    <w:rsid w:val="76755E3D"/>
    <w:rsid w:val="767725B3"/>
    <w:rsid w:val="767E7EFF"/>
    <w:rsid w:val="76957293"/>
    <w:rsid w:val="76B528EA"/>
    <w:rsid w:val="76CB2D49"/>
    <w:rsid w:val="76D5261B"/>
    <w:rsid w:val="76DB438D"/>
    <w:rsid w:val="76E65B02"/>
    <w:rsid w:val="76FC6C97"/>
    <w:rsid w:val="77050A54"/>
    <w:rsid w:val="77062C53"/>
    <w:rsid w:val="770D5E61"/>
    <w:rsid w:val="77384726"/>
    <w:rsid w:val="773C78AE"/>
    <w:rsid w:val="773F7346"/>
    <w:rsid w:val="77586DD8"/>
    <w:rsid w:val="775A5F60"/>
    <w:rsid w:val="775B4604"/>
    <w:rsid w:val="776156E3"/>
    <w:rsid w:val="7762556B"/>
    <w:rsid w:val="7765730E"/>
    <w:rsid w:val="77700104"/>
    <w:rsid w:val="777D20D6"/>
    <w:rsid w:val="77923B0E"/>
    <w:rsid w:val="77933B3B"/>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C7C23"/>
    <w:rsid w:val="77DD2CB6"/>
    <w:rsid w:val="77E242A0"/>
    <w:rsid w:val="77E2575C"/>
    <w:rsid w:val="77EF6453"/>
    <w:rsid w:val="77F273D8"/>
    <w:rsid w:val="780350F4"/>
    <w:rsid w:val="78074939"/>
    <w:rsid w:val="780A4A7F"/>
    <w:rsid w:val="782D3D3A"/>
    <w:rsid w:val="782E0791"/>
    <w:rsid w:val="78380C42"/>
    <w:rsid w:val="7840274B"/>
    <w:rsid w:val="78557CDE"/>
    <w:rsid w:val="78595382"/>
    <w:rsid w:val="786A06DA"/>
    <w:rsid w:val="787D6B02"/>
    <w:rsid w:val="78864B1F"/>
    <w:rsid w:val="78866D51"/>
    <w:rsid w:val="7888534D"/>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217ACA"/>
    <w:rsid w:val="7922350F"/>
    <w:rsid w:val="792B5470"/>
    <w:rsid w:val="792D0059"/>
    <w:rsid w:val="793144E1"/>
    <w:rsid w:val="79466A05"/>
    <w:rsid w:val="79491FB8"/>
    <w:rsid w:val="79614DB5"/>
    <w:rsid w:val="7967689B"/>
    <w:rsid w:val="7968243D"/>
    <w:rsid w:val="796B3C3F"/>
    <w:rsid w:val="796C6412"/>
    <w:rsid w:val="7973541D"/>
    <w:rsid w:val="79761752"/>
    <w:rsid w:val="7978646D"/>
    <w:rsid w:val="797A6567"/>
    <w:rsid w:val="797F66F8"/>
    <w:rsid w:val="798168FA"/>
    <w:rsid w:val="79952007"/>
    <w:rsid w:val="79956BD5"/>
    <w:rsid w:val="799622B5"/>
    <w:rsid w:val="799803E3"/>
    <w:rsid w:val="79A24E0A"/>
    <w:rsid w:val="79A35FDF"/>
    <w:rsid w:val="79A66350"/>
    <w:rsid w:val="79A757A5"/>
    <w:rsid w:val="79BD7948"/>
    <w:rsid w:val="79D00BAF"/>
    <w:rsid w:val="79D22D8D"/>
    <w:rsid w:val="79D34806"/>
    <w:rsid w:val="79E00B0E"/>
    <w:rsid w:val="79E17235"/>
    <w:rsid w:val="79E3467D"/>
    <w:rsid w:val="79EE7E78"/>
    <w:rsid w:val="79FF3899"/>
    <w:rsid w:val="7A077084"/>
    <w:rsid w:val="7A1601DC"/>
    <w:rsid w:val="7A1C0596"/>
    <w:rsid w:val="7A2A7EF1"/>
    <w:rsid w:val="7A33417F"/>
    <w:rsid w:val="7A3758D0"/>
    <w:rsid w:val="7A4024A0"/>
    <w:rsid w:val="7A4C3D34"/>
    <w:rsid w:val="7A522743"/>
    <w:rsid w:val="7A554FA8"/>
    <w:rsid w:val="7A647EE2"/>
    <w:rsid w:val="7A6648DE"/>
    <w:rsid w:val="7A703C40"/>
    <w:rsid w:val="7A7725FA"/>
    <w:rsid w:val="7A7E1615"/>
    <w:rsid w:val="7A7E35FC"/>
    <w:rsid w:val="7A890316"/>
    <w:rsid w:val="7A8E63F6"/>
    <w:rsid w:val="7A8F711B"/>
    <w:rsid w:val="7A932C49"/>
    <w:rsid w:val="7A9367CB"/>
    <w:rsid w:val="7A937059"/>
    <w:rsid w:val="7A9A0280"/>
    <w:rsid w:val="7A9B522E"/>
    <w:rsid w:val="7AA5702C"/>
    <w:rsid w:val="7AA6549B"/>
    <w:rsid w:val="7AA65C86"/>
    <w:rsid w:val="7AAE3BAD"/>
    <w:rsid w:val="7AB236D8"/>
    <w:rsid w:val="7AB26F5C"/>
    <w:rsid w:val="7AC5017B"/>
    <w:rsid w:val="7AC56B0A"/>
    <w:rsid w:val="7ADA2578"/>
    <w:rsid w:val="7AE168A3"/>
    <w:rsid w:val="7AE7798E"/>
    <w:rsid w:val="7AF01F55"/>
    <w:rsid w:val="7AF22571"/>
    <w:rsid w:val="7AF976D0"/>
    <w:rsid w:val="7AFD5FD5"/>
    <w:rsid w:val="7B0720CF"/>
    <w:rsid w:val="7B0F238A"/>
    <w:rsid w:val="7B302A2E"/>
    <w:rsid w:val="7B3235F6"/>
    <w:rsid w:val="7B361733"/>
    <w:rsid w:val="7B4C0AD3"/>
    <w:rsid w:val="7B4C0E47"/>
    <w:rsid w:val="7B5F5E1A"/>
    <w:rsid w:val="7B6820B2"/>
    <w:rsid w:val="7B69224B"/>
    <w:rsid w:val="7B855957"/>
    <w:rsid w:val="7B8D2142"/>
    <w:rsid w:val="7B8E3ADA"/>
    <w:rsid w:val="7B9337D7"/>
    <w:rsid w:val="7B974B83"/>
    <w:rsid w:val="7BB20BB7"/>
    <w:rsid w:val="7BB26AFF"/>
    <w:rsid w:val="7BB64C4D"/>
    <w:rsid w:val="7BC36A75"/>
    <w:rsid w:val="7BCF11FE"/>
    <w:rsid w:val="7BD44AB5"/>
    <w:rsid w:val="7BDA0579"/>
    <w:rsid w:val="7BE80F25"/>
    <w:rsid w:val="7BEF6963"/>
    <w:rsid w:val="7C106E98"/>
    <w:rsid w:val="7C1428D3"/>
    <w:rsid w:val="7C1C35A7"/>
    <w:rsid w:val="7C2C1B15"/>
    <w:rsid w:val="7C3509D3"/>
    <w:rsid w:val="7C357C3A"/>
    <w:rsid w:val="7C39719E"/>
    <w:rsid w:val="7C3C7A60"/>
    <w:rsid w:val="7C45431D"/>
    <w:rsid w:val="7C501E80"/>
    <w:rsid w:val="7C514DD6"/>
    <w:rsid w:val="7C6E59FC"/>
    <w:rsid w:val="7C6F1C61"/>
    <w:rsid w:val="7C6F2735"/>
    <w:rsid w:val="7C6F5781"/>
    <w:rsid w:val="7C911CE1"/>
    <w:rsid w:val="7C914B3E"/>
    <w:rsid w:val="7CA95D92"/>
    <w:rsid w:val="7CAD001B"/>
    <w:rsid w:val="7CC31C08"/>
    <w:rsid w:val="7CD24845"/>
    <w:rsid w:val="7CD53A37"/>
    <w:rsid w:val="7CEB2E8D"/>
    <w:rsid w:val="7CEF4E07"/>
    <w:rsid w:val="7D025527"/>
    <w:rsid w:val="7D0837BF"/>
    <w:rsid w:val="7D1144BC"/>
    <w:rsid w:val="7D146964"/>
    <w:rsid w:val="7D25352B"/>
    <w:rsid w:val="7D2C022A"/>
    <w:rsid w:val="7D2D5A89"/>
    <w:rsid w:val="7D3219D5"/>
    <w:rsid w:val="7D38268C"/>
    <w:rsid w:val="7D4071CA"/>
    <w:rsid w:val="7D535CD7"/>
    <w:rsid w:val="7D541AAE"/>
    <w:rsid w:val="7D567671"/>
    <w:rsid w:val="7D646F16"/>
    <w:rsid w:val="7D6C475E"/>
    <w:rsid w:val="7D79646A"/>
    <w:rsid w:val="7D8561DB"/>
    <w:rsid w:val="7D8A08F0"/>
    <w:rsid w:val="7D9A6837"/>
    <w:rsid w:val="7D9D6CDF"/>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C215D"/>
    <w:rsid w:val="7E203097"/>
    <w:rsid w:val="7E2F2716"/>
    <w:rsid w:val="7E350D9C"/>
    <w:rsid w:val="7E4435B5"/>
    <w:rsid w:val="7E4E2DEB"/>
    <w:rsid w:val="7E5167F7"/>
    <w:rsid w:val="7E5C0C5B"/>
    <w:rsid w:val="7E5D46E7"/>
    <w:rsid w:val="7E5E590F"/>
    <w:rsid w:val="7E5F30E1"/>
    <w:rsid w:val="7E6805CF"/>
    <w:rsid w:val="7E6B3BD4"/>
    <w:rsid w:val="7E6F1FC0"/>
    <w:rsid w:val="7E733D43"/>
    <w:rsid w:val="7E82145A"/>
    <w:rsid w:val="7E935AFB"/>
    <w:rsid w:val="7EA62B29"/>
    <w:rsid w:val="7EBE50B4"/>
    <w:rsid w:val="7EC74689"/>
    <w:rsid w:val="7ECE7610"/>
    <w:rsid w:val="7ECF53BF"/>
    <w:rsid w:val="7ED45EFD"/>
    <w:rsid w:val="7ED71D6B"/>
    <w:rsid w:val="7ED75F84"/>
    <w:rsid w:val="7EE93DFF"/>
    <w:rsid w:val="7EF746DD"/>
    <w:rsid w:val="7EFF756B"/>
    <w:rsid w:val="7F014E9E"/>
    <w:rsid w:val="7F100CEC"/>
    <w:rsid w:val="7F27742A"/>
    <w:rsid w:val="7F29641F"/>
    <w:rsid w:val="7F311F38"/>
    <w:rsid w:val="7F4B5213"/>
    <w:rsid w:val="7F5357F3"/>
    <w:rsid w:val="7F550615"/>
    <w:rsid w:val="7F57044A"/>
    <w:rsid w:val="7F730785"/>
    <w:rsid w:val="7F7A098F"/>
    <w:rsid w:val="7F7B3BE0"/>
    <w:rsid w:val="7F8442A1"/>
    <w:rsid w:val="7F8477C4"/>
    <w:rsid w:val="7F862CC7"/>
    <w:rsid w:val="7F981123"/>
    <w:rsid w:val="7F9C4E6B"/>
    <w:rsid w:val="7F9D7069"/>
    <w:rsid w:val="7FAD3C95"/>
    <w:rsid w:val="7FB65A15"/>
    <w:rsid w:val="7FB9625D"/>
    <w:rsid w:val="7FC32B2C"/>
    <w:rsid w:val="7FC76D8A"/>
    <w:rsid w:val="7FC90A85"/>
    <w:rsid w:val="7FCA4E23"/>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4</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2025-03-28T07:39:23Z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